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1B" w:rsidRDefault="00D35C1B" w:rsidP="005C2F00">
      <w:pPr>
        <w:spacing w:after="0"/>
        <w:ind w:left="851" w:right="851"/>
        <w:jc w:val="center"/>
        <w:rPr>
          <w:rFonts w:ascii="Times New Roman" w:hAnsi="Times New Roman"/>
          <w:i/>
          <w:sz w:val="21"/>
          <w:szCs w:val="21"/>
        </w:rPr>
      </w:pPr>
    </w:p>
    <w:p w:rsidR="006A50F1" w:rsidRDefault="006A50F1" w:rsidP="005C2F00">
      <w:pPr>
        <w:spacing w:after="0"/>
        <w:ind w:left="851" w:right="851"/>
        <w:jc w:val="center"/>
        <w:rPr>
          <w:rFonts w:ascii="Times New Roman" w:hAnsi="Times New Roman"/>
          <w:i/>
          <w:sz w:val="21"/>
          <w:szCs w:val="21"/>
        </w:rPr>
      </w:pPr>
    </w:p>
    <w:p w:rsidR="006A50F1" w:rsidRPr="006A50F1" w:rsidRDefault="00E51904" w:rsidP="006A50F1">
      <w:pPr>
        <w:spacing w:after="0"/>
        <w:jc w:val="center"/>
        <w:rPr>
          <w:rFonts w:ascii="Times New Roman" w:hAnsi="Times New Roman"/>
          <w:b/>
          <w:i/>
          <w:sz w:val="33"/>
          <w:szCs w:val="33"/>
        </w:rPr>
      </w:pPr>
      <w:r>
        <w:rPr>
          <w:rFonts w:ascii="Times New Roman" w:hAnsi="Times New Roman"/>
          <w:b/>
          <w:i/>
          <w:sz w:val="33"/>
          <w:szCs w:val="33"/>
        </w:rPr>
        <w:t>COMUNICAT</w:t>
      </w:r>
      <w:r w:rsidR="003569B2" w:rsidRPr="006A50F1">
        <w:rPr>
          <w:rFonts w:ascii="Times New Roman" w:hAnsi="Times New Roman"/>
          <w:b/>
          <w:i/>
          <w:sz w:val="33"/>
          <w:szCs w:val="33"/>
        </w:rPr>
        <w:t xml:space="preserve"> </w:t>
      </w:r>
      <w:r w:rsidR="009A51FC">
        <w:rPr>
          <w:rFonts w:ascii="Times New Roman" w:hAnsi="Times New Roman"/>
          <w:b/>
          <w:i/>
          <w:sz w:val="33"/>
          <w:szCs w:val="33"/>
        </w:rPr>
        <w:t>DE PRESĂ</w:t>
      </w:r>
    </w:p>
    <w:p w:rsidR="00192378" w:rsidRDefault="009A51FC" w:rsidP="009A51FC">
      <w:pPr>
        <w:spacing w:before="120" w:after="0"/>
        <w:ind w:left="567" w:right="567"/>
        <w:jc w:val="center"/>
        <w:rPr>
          <w:rFonts w:ascii="Times New Roman" w:eastAsia="Calibri" w:hAnsi="Times New Roman"/>
          <w:snapToGrid/>
          <w:sz w:val="17"/>
          <w:szCs w:val="17"/>
          <w:lang w:val="ro-RO" w:eastAsia="ro-RO"/>
        </w:rPr>
      </w:pPr>
      <w:r>
        <w:rPr>
          <w:rFonts w:ascii="Times New Roman" w:hAnsi="Times New Roman"/>
          <w:sz w:val="17"/>
          <w:szCs w:val="17"/>
        </w:rPr>
        <w:t>referitor la proiectul de lege</w:t>
      </w:r>
      <w:r w:rsidRPr="006A50F1">
        <w:rPr>
          <w:rFonts w:ascii="Times New Roman" w:hAnsi="Times New Roman"/>
          <w:sz w:val="17"/>
          <w:szCs w:val="17"/>
        </w:rPr>
        <w:t xml:space="preserve"> care </w:t>
      </w:r>
      <w:r w:rsidRPr="006A50F1">
        <w:rPr>
          <w:rFonts w:ascii="Times New Roman" w:eastAsia="Calibri" w:hAnsi="Times New Roman"/>
          <w:snapToGrid/>
          <w:sz w:val="17"/>
          <w:szCs w:val="17"/>
          <w:lang w:val="ro-RO" w:eastAsia="ro-RO"/>
        </w:rPr>
        <w:t>reglementează modul de realizare a achizițiilor publice, procedurile de atribuire a</w:t>
      </w:r>
      <w:r w:rsidRPr="006A50F1">
        <w:rPr>
          <w:rFonts w:ascii="Times New Roman" w:hAnsi="Times New Roman"/>
          <w:sz w:val="17"/>
          <w:szCs w:val="17"/>
        </w:rPr>
        <w:t xml:space="preserve"> </w:t>
      </w:r>
      <w:r w:rsidRPr="006A50F1">
        <w:rPr>
          <w:rFonts w:ascii="Times New Roman" w:eastAsia="Calibri" w:hAnsi="Times New Roman"/>
          <w:snapToGrid/>
          <w:sz w:val="17"/>
          <w:szCs w:val="17"/>
          <w:lang w:val="ro-RO" w:eastAsia="ro-RO"/>
        </w:rPr>
        <w:t>contractelor de achiziție publică și a acordurilor-cadru si de organizare a concursurilor de soluții,</w:t>
      </w:r>
      <w:r w:rsidRPr="006A50F1">
        <w:rPr>
          <w:rFonts w:ascii="Times New Roman" w:hAnsi="Times New Roman"/>
          <w:sz w:val="17"/>
          <w:szCs w:val="17"/>
        </w:rPr>
        <w:t xml:space="preserve"> </w:t>
      </w:r>
      <w:r w:rsidRPr="006A50F1">
        <w:rPr>
          <w:rFonts w:ascii="Times New Roman" w:eastAsia="Calibri" w:hAnsi="Times New Roman"/>
          <w:snapToGrid/>
          <w:sz w:val="17"/>
          <w:szCs w:val="17"/>
          <w:lang w:val="ro-RO" w:eastAsia="ro-RO"/>
        </w:rPr>
        <w:t>precum si anumite aspecte specifice în legătură cu executarea contractelor de achiziție publică si a</w:t>
      </w:r>
      <w:r w:rsidRPr="006A50F1">
        <w:rPr>
          <w:rFonts w:ascii="Times New Roman" w:hAnsi="Times New Roman"/>
          <w:sz w:val="17"/>
          <w:szCs w:val="17"/>
        </w:rPr>
        <w:t xml:space="preserve"> </w:t>
      </w:r>
      <w:r w:rsidRPr="006A50F1">
        <w:rPr>
          <w:rFonts w:ascii="Times New Roman" w:eastAsia="Calibri" w:hAnsi="Times New Roman"/>
          <w:snapToGrid/>
          <w:sz w:val="17"/>
          <w:szCs w:val="17"/>
          <w:lang w:val="ro-RO" w:eastAsia="ro-RO"/>
        </w:rPr>
        <w:t>acordurilor-cadru</w:t>
      </w:r>
    </w:p>
    <w:p w:rsidR="009A51FC" w:rsidRDefault="009A51FC" w:rsidP="00B039C8">
      <w:pPr>
        <w:spacing w:after="0" w:line="360" w:lineRule="auto"/>
        <w:jc w:val="both"/>
        <w:rPr>
          <w:rFonts w:ascii="Times New Roman" w:hAnsi="Times New Roman"/>
          <w:sz w:val="24"/>
          <w:szCs w:val="24"/>
        </w:rPr>
      </w:pPr>
    </w:p>
    <w:p w:rsidR="00BF7727" w:rsidRPr="009A51FC" w:rsidRDefault="00E51904" w:rsidP="00BF7727">
      <w:pPr>
        <w:spacing w:after="0" w:line="360" w:lineRule="auto"/>
        <w:jc w:val="both"/>
        <w:rPr>
          <w:rFonts w:ascii="Times New Roman" w:hAnsi="Times New Roman"/>
          <w:sz w:val="24"/>
          <w:szCs w:val="24"/>
        </w:rPr>
      </w:pPr>
      <w:r w:rsidRPr="009A51FC">
        <w:rPr>
          <w:rFonts w:ascii="Times New Roman" w:hAnsi="Times New Roman"/>
          <w:sz w:val="24"/>
          <w:szCs w:val="24"/>
        </w:rPr>
        <w:tab/>
        <w:t xml:space="preserve">În calitatea sa de actor instituțional și de partener de dialog </w:t>
      </w:r>
      <w:r w:rsidR="00BF7727" w:rsidRPr="009A51FC">
        <w:rPr>
          <w:rFonts w:ascii="Times New Roman" w:hAnsi="Times New Roman"/>
          <w:sz w:val="24"/>
          <w:szCs w:val="24"/>
        </w:rPr>
        <w:t>social</w:t>
      </w:r>
      <w:r w:rsidRPr="009A51FC">
        <w:rPr>
          <w:rFonts w:ascii="Times New Roman" w:hAnsi="Times New Roman"/>
          <w:sz w:val="24"/>
          <w:szCs w:val="24"/>
        </w:rPr>
        <w:t>, Patronatul Serviciilor Private din România susține orice demers menit să cree</w:t>
      </w:r>
      <w:r w:rsidR="00BF7727" w:rsidRPr="009A51FC">
        <w:rPr>
          <w:rFonts w:ascii="Times New Roman" w:hAnsi="Times New Roman"/>
          <w:sz w:val="24"/>
          <w:szCs w:val="24"/>
        </w:rPr>
        <w:t>z</w:t>
      </w:r>
      <w:r w:rsidRPr="009A51FC">
        <w:rPr>
          <w:rFonts w:ascii="Times New Roman" w:hAnsi="Times New Roman"/>
          <w:sz w:val="24"/>
          <w:szCs w:val="24"/>
        </w:rPr>
        <w:t xml:space="preserve">e condiții legale stimulative pentru dezvoltarea sectorului serviciilor private, asumându-și o poziție activă și constructivă în dezbaterea publică a </w:t>
      </w:r>
      <w:r w:rsidR="00BF7727" w:rsidRPr="009A51FC">
        <w:rPr>
          <w:rFonts w:ascii="Times New Roman" w:hAnsi="Times New Roman"/>
          <w:sz w:val="24"/>
          <w:szCs w:val="24"/>
        </w:rPr>
        <w:t>propunerilor legislative ini</w:t>
      </w:r>
      <w:r w:rsidR="00BF7727" w:rsidRPr="009A51FC">
        <w:rPr>
          <w:rFonts w:ascii="Times New Roman" w:hAnsi="Times New Roman"/>
          <w:sz w:val="24"/>
          <w:szCs w:val="24"/>
          <w:lang w:val="ro-RO"/>
        </w:rPr>
        <w:t>ț</w:t>
      </w:r>
      <w:r w:rsidR="00BF7727" w:rsidRPr="009A51FC">
        <w:rPr>
          <w:rFonts w:ascii="Times New Roman" w:hAnsi="Times New Roman"/>
          <w:sz w:val="24"/>
          <w:szCs w:val="24"/>
        </w:rPr>
        <w:t xml:space="preserve">iate de autoritățile publice din România. Astfel, în data de 03.08.2015, Patronatul Serviciilor Private din România a transmis Ministerului Finanțelor Publice o serie de propuneri și observații la proiectul de Lege privind achizițiile publice, atrăgând atenția autorităților asupra necesității </w:t>
      </w:r>
      <w:r w:rsidR="00911AC6" w:rsidRPr="009A51FC">
        <w:rPr>
          <w:rFonts w:ascii="Times New Roman" w:hAnsi="Times New Roman"/>
          <w:sz w:val="24"/>
          <w:szCs w:val="24"/>
        </w:rPr>
        <w:t xml:space="preserve">reconsiderării unor prevederi ale </w:t>
      </w:r>
      <w:r w:rsidR="00BF7727" w:rsidRPr="009A51FC">
        <w:rPr>
          <w:rFonts w:ascii="Times New Roman" w:hAnsi="Times New Roman"/>
          <w:sz w:val="24"/>
          <w:szCs w:val="24"/>
        </w:rPr>
        <w:t xml:space="preserve">actului </w:t>
      </w:r>
      <w:r w:rsidR="00911AC6" w:rsidRPr="009A51FC">
        <w:rPr>
          <w:rFonts w:ascii="Times New Roman" w:hAnsi="Times New Roman"/>
          <w:sz w:val="24"/>
          <w:szCs w:val="24"/>
        </w:rPr>
        <w:t>normativ,</w:t>
      </w:r>
      <w:r w:rsidR="00BF7727" w:rsidRPr="009A51FC">
        <w:rPr>
          <w:rFonts w:ascii="Times New Roman" w:hAnsi="Times New Roman"/>
          <w:sz w:val="24"/>
          <w:szCs w:val="24"/>
        </w:rPr>
        <w:t xml:space="preserve"> în spiritul principiilor menționate la Art. 2 alin. (2).</w:t>
      </w:r>
    </w:p>
    <w:p w:rsidR="00911AC6" w:rsidRPr="009A51FC" w:rsidRDefault="00911AC6" w:rsidP="00BF7727">
      <w:pPr>
        <w:spacing w:after="0" w:line="360" w:lineRule="auto"/>
        <w:jc w:val="both"/>
        <w:rPr>
          <w:rFonts w:ascii="Times New Roman" w:hAnsi="Times New Roman"/>
          <w:sz w:val="24"/>
          <w:szCs w:val="24"/>
        </w:rPr>
      </w:pPr>
      <w:r w:rsidRPr="009A51FC">
        <w:rPr>
          <w:rFonts w:ascii="Times New Roman" w:hAnsi="Times New Roman"/>
          <w:sz w:val="24"/>
          <w:szCs w:val="24"/>
        </w:rPr>
        <w:tab/>
        <w:t xml:space="preserve">Patronatul Serviciilor Private din România consideră că, în forma </w:t>
      </w:r>
      <w:r w:rsidR="001B1D4A" w:rsidRPr="009A51FC">
        <w:rPr>
          <w:rFonts w:ascii="Times New Roman" w:hAnsi="Times New Roman"/>
          <w:sz w:val="24"/>
          <w:szCs w:val="24"/>
        </w:rPr>
        <w:t>supusă dezbaterii publice</w:t>
      </w:r>
      <w:r w:rsidRPr="009A51FC">
        <w:rPr>
          <w:rFonts w:ascii="Times New Roman" w:hAnsi="Times New Roman"/>
          <w:sz w:val="24"/>
          <w:szCs w:val="24"/>
        </w:rPr>
        <w:t>, Legea privind achiziți</w:t>
      </w:r>
      <w:r w:rsidR="009277DF">
        <w:rPr>
          <w:rFonts w:ascii="Times New Roman" w:hAnsi="Times New Roman"/>
          <w:sz w:val="24"/>
          <w:szCs w:val="24"/>
        </w:rPr>
        <w:t>i</w:t>
      </w:r>
      <w:r w:rsidRPr="009A51FC">
        <w:rPr>
          <w:rFonts w:ascii="Times New Roman" w:hAnsi="Times New Roman"/>
          <w:sz w:val="24"/>
          <w:szCs w:val="24"/>
        </w:rPr>
        <w:t>le publice, deși reprezintă un demers necesar</w:t>
      </w:r>
      <w:r w:rsidR="001B1D4A" w:rsidRPr="009A51FC">
        <w:rPr>
          <w:rFonts w:ascii="Times New Roman" w:hAnsi="Times New Roman"/>
          <w:sz w:val="24"/>
          <w:szCs w:val="24"/>
        </w:rPr>
        <w:t xml:space="preserve"> al autorităților menit să corecteze deficiențele bine-cunoscute ale sistemului actual de achiziții publice,  nu este în măsură să creeze un cadru transparent și nediscriminatoriu de atribuire a contractelor de achiziții publice și nici să optimizeze achizițiile publice sub aspectul obținerii celui mai bun raport calitate-preț. În susținerea acestei poziții, aducem </w:t>
      </w:r>
      <w:r w:rsidR="009277DF">
        <w:rPr>
          <w:rFonts w:ascii="Times New Roman" w:hAnsi="Times New Roman"/>
          <w:sz w:val="24"/>
          <w:szCs w:val="24"/>
        </w:rPr>
        <w:t xml:space="preserve">în discuţie cel puţin </w:t>
      </w:r>
      <w:r w:rsidR="001B1D4A" w:rsidRPr="009A51FC">
        <w:rPr>
          <w:rFonts w:ascii="Times New Roman" w:hAnsi="Times New Roman"/>
          <w:sz w:val="24"/>
          <w:szCs w:val="24"/>
        </w:rPr>
        <w:t>următoarele argumente concrete:</w:t>
      </w:r>
    </w:p>
    <w:p w:rsidR="008E6068" w:rsidRPr="009A51FC" w:rsidRDefault="001B1D4A" w:rsidP="001B1D4A">
      <w:pPr>
        <w:numPr>
          <w:ilvl w:val="0"/>
          <w:numId w:val="9"/>
        </w:numPr>
        <w:spacing w:after="0" w:line="360" w:lineRule="auto"/>
        <w:jc w:val="both"/>
        <w:rPr>
          <w:rFonts w:ascii="Times New Roman" w:hAnsi="Times New Roman"/>
          <w:sz w:val="24"/>
          <w:szCs w:val="24"/>
        </w:rPr>
      </w:pPr>
      <w:r w:rsidRPr="009A51FC">
        <w:rPr>
          <w:rFonts w:ascii="Times New Roman" w:hAnsi="Times New Roman"/>
          <w:sz w:val="24"/>
          <w:szCs w:val="24"/>
        </w:rPr>
        <w:t>Lege achizițiilor publice abundă în formulări de ti</w:t>
      </w:r>
      <w:r w:rsidR="001B3901" w:rsidRPr="009A51FC">
        <w:rPr>
          <w:rFonts w:ascii="Times New Roman" w:hAnsi="Times New Roman"/>
          <w:sz w:val="24"/>
          <w:szCs w:val="24"/>
        </w:rPr>
        <w:t xml:space="preserve">pul </w:t>
      </w:r>
      <w:r w:rsidR="001B3901" w:rsidRPr="009A51FC">
        <w:rPr>
          <w:rFonts w:ascii="Times New Roman" w:hAnsi="Times New Roman"/>
          <w:i/>
          <w:sz w:val="24"/>
          <w:szCs w:val="24"/>
        </w:rPr>
        <w:t>”de regulă”</w:t>
      </w:r>
      <w:r w:rsidR="001B3901" w:rsidRPr="009A51FC">
        <w:rPr>
          <w:rFonts w:ascii="Times New Roman" w:hAnsi="Times New Roman"/>
          <w:sz w:val="24"/>
          <w:szCs w:val="24"/>
        </w:rPr>
        <w:t>,</w:t>
      </w:r>
      <w:r w:rsidRPr="009A51FC">
        <w:rPr>
          <w:rFonts w:ascii="Times New Roman" w:hAnsi="Times New Roman"/>
          <w:sz w:val="24"/>
          <w:szCs w:val="24"/>
        </w:rPr>
        <w:t xml:space="preserve"> </w:t>
      </w:r>
      <w:r w:rsidRPr="009A51FC">
        <w:rPr>
          <w:rFonts w:ascii="Times New Roman" w:hAnsi="Times New Roman"/>
          <w:i/>
          <w:sz w:val="24"/>
          <w:szCs w:val="24"/>
        </w:rPr>
        <w:t>”cu excepția”</w:t>
      </w:r>
      <w:r w:rsidRPr="009A51FC">
        <w:rPr>
          <w:rFonts w:ascii="Times New Roman" w:hAnsi="Times New Roman"/>
          <w:sz w:val="24"/>
          <w:szCs w:val="24"/>
        </w:rPr>
        <w:t xml:space="preserve"> sau </w:t>
      </w:r>
      <w:r w:rsidRPr="009A51FC">
        <w:rPr>
          <w:rFonts w:ascii="Times New Roman" w:hAnsi="Times New Roman"/>
          <w:i/>
          <w:sz w:val="24"/>
          <w:szCs w:val="24"/>
        </w:rPr>
        <w:t>”prin derogare”,</w:t>
      </w:r>
      <w:r w:rsidRPr="009A51FC">
        <w:rPr>
          <w:rFonts w:ascii="Times New Roman" w:hAnsi="Times New Roman"/>
          <w:sz w:val="24"/>
          <w:szCs w:val="24"/>
        </w:rPr>
        <w:t xml:space="preserve"> </w:t>
      </w:r>
      <w:r w:rsidR="001B3901" w:rsidRPr="009A51FC">
        <w:rPr>
          <w:rFonts w:ascii="Times New Roman" w:hAnsi="Times New Roman"/>
          <w:sz w:val="24"/>
          <w:szCs w:val="24"/>
        </w:rPr>
        <w:t>fără a preciza însă și situațiile concrete sau argumentele în baza cărora aceste excepții sunt aplicabile. Prin urm</w:t>
      </w:r>
      <w:r w:rsidR="008E6068" w:rsidRPr="009A51FC">
        <w:rPr>
          <w:rFonts w:ascii="Times New Roman" w:hAnsi="Times New Roman"/>
          <w:sz w:val="24"/>
          <w:szCs w:val="24"/>
        </w:rPr>
        <w:t>a</w:t>
      </w:r>
      <w:r w:rsidR="001B3901" w:rsidRPr="009A51FC">
        <w:rPr>
          <w:rFonts w:ascii="Times New Roman" w:hAnsi="Times New Roman"/>
          <w:sz w:val="24"/>
          <w:szCs w:val="24"/>
        </w:rPr>
        <w:t xml:space="preserve">re, forma actuală a legii permite autorităților contractante să interpreteze articolele în cauză după bunul plac și să aplice în mod selectiv </w:t>
      </w:r>
      <w:r w:rsidR="008E6068" w:rsidRPr="009A51FC">
        <w:rPr>
          <w:rFonts w:ascii="Times New Roman" w:hAnsi="Times New Roman"/>
          <w:sz w:val="24"/>
          <w:szCs w:val="24"/>
        </w:rPr>
        <w:t xml:space="preserve">principii sau etape ale procesului de achiziție publică. </w:t>
      </w:r>
      <w:r w:rsidR="00E75791">
        <w:rPr>
          <w:rFonts w:ascii="Times New Roman" w:hAnsi="Times New Roman"/>
          <w:sz w:val="24"/>
          <w:szCs w:val="24"/>
        </w:rPr>
        <w:t>O</w:t>
      </w:r>
      <w:r w:rsidR="008E6068" w:rsidRPr="009A51FC">
        <w:rPr>
          <w:rFonts w:ascii="Times New Roman" w:hAnsi="Times New Roman"/>
          <w:sz w:val="24"/>
          <w:szCs w:val="24"/>
        </w:rPr>
        <w:t xml:space="preserve"> scurtă lecturare a proiectului de lege </w:t>
      </w:r>
      <w:r w:rsidR="00756E39">
        <w:rPr>
          <w:rFonts w:ascii="Times New Roman" w:hAnsi="Times New Roman"/>
          <w:sz w:val="24"/>
          <w:szCs w:val="24"/>
        </w:rPr>
        <w:t>relevă următoarele</w:t>
      </w:r>
      <w:r w:rsidR="00E75791">
        <w:rPr>
          <w:rFonts w:ascii="Times New Roman" w:hAnsi="Times New Roman"/>
          <w:sz w:val="24"/>
          <w:szCs w:val="24"/>
        </w:rPr>
        <w:t xml:space="preserve"> exemple în acest sens</w:t>
      </w:r>
      <w:r w:rsidR="008E6068" w:rsidRPr="009A51FC">
        <w:rPr>
          <w:rFonts w:ascii="Times New Roman" w:hAnsi="Times New Roman"/>
          <w:sz w:val="24"/>
          <w:szCs w:val="24"/>
        </w:rPr>
        <w:t>:</w:t>
      </w:r>
    </w:p>
    <w:p w:rsidR="00756E39" w:rsidRPr="009A51FC" w:rsidRDefault="00756E39" w:rsidP="00756E39">
      <w:pPr>
        <w:numPr>
          <w:ilvl w:val="1"/>
          <w:numId w:val="9"/>
        </w:numPr>
        <w:spacing w:after="0" w:line="360" w:lineRule="auto"/>
        <w:jc w:val="both"/>
        <w:rPr>
          <w:rFonts w:ascii="Times New Roman" w:hAnsi="Times New Roman"/>
          <w:sz w:val="24"/>
          <w:szCs w:val="24"/>
        </w:rPr>
      </w:pPr>
      <w:r w:rsidRPr="009A51FC">
        <w:rPr>
          <w:rFonts w:ascii="Times New Roman" w:hAnsi="Times New Roman"/>
          <w:sz w:val="24"/>
          <w:szCs w:val="24"/>
        </w:rPr>
        <w:t xml:space="preserve">Autoritatea contractantă poate decide asupra divizării unei achiziţii publice, având drept rezultat eludarea pragurilor valorice stabilite prin Art.l 7 alin. (1), în cazul unor </w:t>
      </w:r>
      <w:r w:rsidRPr="009A51FC">
        <w:rPr>
          <w:rFonts w:ascii="Times New Roman" w:hAnsi="Times New Roman"/>
          <w:i/>
          <w:sz w:val="24"/>
          <w:szCs w:val="24"/>
        </w:rPr>
        <w:t>“situa</w:t>
      </w:r>
      <w:r w:rsidRPr="009A51FC">
        <w:rPr>
          <w:rFonts w:ascii="Times New Roman" w:hAnsi="Times New Roman"/>
          <w:i/>
          <w:sz w:val="24"/>
          <w:szCs w:val="24"/>
          <w:lang w:val="ro-RO"/>
        </w:rPr>
        <w:t>ţi</w:t>
      </w:r>
      <w:r w:rsidRPr="009A51FC">
        <w:rPr>
          <w:rFonts w:ascii="Times New Roman" w:hAnsi="Times New Roman"/>
          <w:i/>
          <w:sz w:val="24"/>
          <w:szCs w:val="24"/>
        </w:rPr>
        <w:t>i justificate de motive obiective”,</w:t>
      </w:r>
      <w:r w:rsidRPr="009A51FC">
        <w:rPr>
          <w:rFonts w:ascii="Times New Roman" w:hAnsi="Times New Roman"/>
          <w:sz w:val="24"/>
          <w:szCs w:val="24"/>
        </w:rPr>
        <w:t xml:space="preserve"> fără ca legea să facă </w:t>
      </w:r>
      <w:r>
        <w:rPr>
          <w:rFonts w:ascii="Times New Roman" w:hAnsi="Times New Roman"/>
          <w:sz w:val="24"/>
          <w:szCs w:val="24"/>
        </w:rPr>
        <w:t xml:space="preserve">însă </w:t>
      </w:r>
      <w:r w:rsidRPr="009A51FC">
        <w:rPr>
          <w:rFonts w:ascii="Times New Roman" w:hAnsi="Times New Roman"/>
          <w:sz w:val="24"/>
          <w:szCs w:val="24"/>
        </w:rPr>
        <w:t xml:space="preserve">vreo referire clară la natura acestor situaţii sau motive, după cum rezultă </w:t>
      </w:r>
      <w:r w:rsidRPr="009A51FC">
        <w:rPr>
          <w:rFonts w:ascii="Times New Roman" w:hAnsi="Times New Roman"/>
          <w:sz w:val="24"/>
          <w:szCs w:val="24"/>
        </w:rPr>
        <w:lastRenderedPageBreak/>
        <w:t xml:space="preserve">din Art. 11 alin. (2) </w:t>
      </w:r>
      <w:r w:rsidRPr="009A51FC">
        <w:rPr>
          <w:rFonts w:ascii="Times New Roman" w:hAnsi="Times New Roman"/>
          <w:i/>
          <w:sz w:val="24"/>
          <w:szCs w:val="24"/>
        </w:rPr>
        <w:t>(“</w:t>
      </w:r>
      <w:r w:rsidRPr="009A51FC">
        <w:rPr>
          <w:rFonts w:ascii="Times New Roman" w:eastAsia="Calibri" w:hAnsi="Times New Roman"/>
          <w:i/>
          <w:snapToGrid/>
          <w:sz w:val="24"/>
          <w:szCs w:val="24"/>
          <w:lang w:val="ro-RO" w:eastAsia="ro-RO"/>
        </w:rPr>
        <w:t>Autoritatea contractantă nu are dreptul de a diviza o achiziţie astfel încât aceasta să aibă ca</w:t>
      </w:r>
      <w:r w:rsidRPr="009A51FC">
        <w:rPr>
          <w:rFonts w:ascii="Times New Roman" w:hAnsi="Times New Roman"/>
          <w:i/>
          <w:sz w:val="24"/>
          <w:szCs w:val="24"/>
        </w:rPr>
        <w:t xml:space="preserve"> </w:t>
      </w:r>
      <w:r w:rsidRPr="009A51FC">
        <w:rPr>
          <w:rFonts w:ascii="Times New Roman" w:eastAsia="Calibri" w:hAnsi="Times New Roman"/>
          <w:i/>
          <w:snapToGrid/>
          <w:sz w:val="24"/>
          <w:szCs w:val="24"/>
          <w:lang w:val="ro-RO" w:eastAsia="ro-RO"/>
        </w:rPr>
        <w:t xml:space="preserve">efect neaplicarea procedurilor prevăzute de prezenta lege, </w:t>
      </w:r>
      <w:r w:rsidRPr="009A51FC">
        <w:rPr>
          <w:rFonts w:ascii="Times New Roman" w:eastAsia="Calibri" w:hAnsi="Times New Roman"/>
          <w:i/>
          <w:snapToGrid/>
          <w:sz w:val="24"/>
          <w:szCs w:val="24"/>
          <w:u w:val="single"/>
          <w:lang w:val="ro-RO" w:eastAsia="ro-RO"/>
        </w:rPr>
        <w:t>cu excepţia</w:t>
      </w:r>
      <w:r w:rsidRPr="009A51FC">
        <w:rPr>
          <w:rFonts w:ascii="Times New Roman" w:eastAsia="Calibri" w:hAnsi="Times New Roman"/>
          <w:i/>
          <w:snapToGrid/>
          <w:sz w:val="24"/>
          <w:szCs w:val="24"/>
          <w:lang w:val="ro-RO" w:eastAsia="ro-RO"/>
        </w:rPr>
        <w:t xml:space="preserve"> situaţiilor justificate de</w:t>
      </w:r>
      <w:r w:rsidRPr="009A51FC">
        <w:rPr>
          <w:rFonts w:ascii="Times New Roman" w:hAnsi="Times New Roman"/>
          <w:i/>
          <w:sz w:val="24"/>
          <w:szCs w:val="24"/>
        </w:rPr>
        <w:t xml:space="preserve"> </w:t>
      </w:r>
      <w:r w:rsidRPr="009A51FC">
        <w:rPr>
          <w:rFonts w:ascii="Times New Roman" w:eastAsia="Calibri" w:hAnsi="Times New Roman"/>
          <w:i/>
          <w:snapToGrid/>
          <w:sz w:val="24"/>
          <w:szCs w:val="24"/>
          <w:lang w:val="ro-RO" w:eastAsia="ro-RO"/>
        </w:rPr>
        <w:t>motive obiective”</w:t>
      </w:r>
      <w:r w:rsidRPr="009A51FC">
        <w:rPr>
          <w:rFonts w:ascii="Times New Roman" w:eastAsia="Calibri" w:hAnsi="Times New Roman"/>
          <w:snapToGrid/>
          <w:sz w:val="24"/>
          <w:szCs w:val="24"/>
          <w:lang w:val="ro-RO" w:eastAsia="ro-RO"/>
        </w:rPr>
        <w:t>).</w:t>
      </w:r>
    </w:p>
    <w:p w:rsidR="00756E39" w:rsidRPr="009A51FC" w:rsidRDefault="00756E39" w:rsidP="00756E39">
      <w:pPr>
        <w:numPr>
          <w:ilvl w:val="1"/>
          <w:numId w:val="9"/>
        </w:numPr>
        <w:spacing w:after="0" w:line="360" w:lineRule="auto"/>
        <w:jc w:val="both"/>
        <w:rPr>
          <w:rFonts w:ascii="Times New Roman" w:hAnsi="Times New Roman"/>
          <w:sz w:val="24"/>
          <w:szCs w:val="24"/>
        </w:rPr>
      </w:pPr>
      <w:r w:rsidRPr="009A51FC">
        <w:rPr>
          <w:rFonts w:ascii="Times New Roman" w:hAnsi="Times New Roman"/>
          <w:sz w:val="24"/>
          <w:szCs w:val="24"/>
        </w:rPr>
        <w:t xml:space="preserve">Termenul </w:t>
      </w:r>
      <w:r>
        <w:rPr>
          <w:rFonts w:ascii="Times New Roman" w:hAnsi="Times New Roman"/>
          <w:sz w:val="24"/>
          <w:szCs w:val="24"/>
        </w:rPr>
        <w:t xml:space="preserve">limită </w:t>
      </w:r>
      <w:r w:rsidRPr="009A51FC">
        <w:rPr>
          <w:rFonts w:ascii="Times New Roman" w:hAnsi="Times New Roman"/>
          <w:sz w:val="24"/>
          <w:szCs w:val="24"/>
        </w:rPr>
        <w:t xml:space="preserve">de răspuns al autorităţilor contractante la solicitările de clarificări </w:t>
      </w:r>
      <w:r>
        <w:rPr>
          <w:rFonts w:ascii="Times New Roman" w:hAnsi="Times New Roman"/>
          <w:sz w:val="24"/>
          <w:szCs w:val="24"/>
        </w:rPr>
        <w:t>poate fi depășit în anumite situații neprecizate de lege, așa cum</w:t>
      </w:r>
      <w:r w:rsidRPr="009A51FC">
        <w:rPr>
          <w:rFonts w:ascii="Times New Roman" w:hAnsi="Times New Roman"/>
          <w:sz w:val="24"/>
          <w:szCs w:val="24"/>
        </w:rPr>
        <w:t xml:space="preserve"> rezultă din Art. 157 alin. </w:t>
      </w:r>
      <w:r>
        <w:rPr>
          <w:rFonts w:ascii="Times New Roman" w:hAnsi="Times New Roman"/>
          <w:sz w:val="24"/>
          <w:szCs w:val="24"/>
        </w:rPr>
        <w:t>(</w:t>
      </w:r>
      <w:r w:rsidRPr="009A51FC">
        <w:rPr>
          <w:rFonts w:ascii="Times New Roman" w:hAnsi="Times New Roman"/>
          <w:sz w:val="24"/>
          <w:szCs w:val="24"/>
        </w:rPr>
        <w:t>2</w:t>
      </w:r>
      <w:r>
        <w:rPr>
          <w:rFonts w:ascii="Times New Roman" w:hAnsi="Times New Roman"/>
          <w:sz w:val="24"/>
          <w:szCs w:val="24"/>
        </w:rPr>
        <w:t>)</w:t>
      </w:r>
      <w:r w:rsidRPr="009A51FC">
        <w:rPr>
          <w:rFonts w:ascii="Times New Roman" w:hAnsi="Times New Roman"/>
          <w:sz w:val="24"/>
          <w:szCs w:val="24"/>
        </w:rPr>
        <w:t xml:space="preserve"> (</w:t>
      </w:r>
      <w:r w:rsidRPr="009A51FC">
        <w:rPr>
          <w:rFonts w:ascii="Times New Roman" w:eastAsia="Calibri" w:hAnsi="Times New Roman"/>
          <w:i/>
          <w:snapToGrid/>
          <w:sz w:val="24"/>
          <w:szCs w:val="24"/>
          <w:lang w:eastAsia="ro-RO"/>
        </w:rPr>
        <w:t>“</w:t>
      </w:r>
      <w:r w:rsidRPr="009A51FC">
        <w:rPr>
          <w:rFonts w:ascii="Times New Roman" w:eastAsia="Calibri" w:hAnsi="Times New Roman"/>
          <w:i/>
          <w:snapToGrid/>
          <w:sz w:val="24"/>
          <w:szCs w:val="24"/>
          <w:lang w:val="ro-RO" w:eastAsia="ro-RO"/>
        </w:rPr>
        <w:t>Autoritatea contractantă are obligaţia de a răspunde în mod clar, complet si fără ambiguităţi,cât mai repede posibil, la orice solicitare de clarificari sau informaţii suplimentare, într-o p</w:t>
      </w:r>
      <w:r>
        <w:rPr>
          <w:rFonts w:ascii="Times New Roman" w:eastAsia="Calibri" w:hAnsi="Times New Roman"/>
          <w:i/>
          <w:snapToGrid/>
          <w:sz w:val="24"/>
          <w:szCs w:val="24"/>
          <w:lang w:val="ro-RO" w:eastAsia="ro-RO"/>
        </w:rPr>
        <w:t>erioadă care nu trebuie să depăș</w:t>
      </w:r>
      <w:r w:rsidRPr="009A51FC">
        <w:rPr>
          <w:rFonts w:ascii="Times New Roman" w:eastAsia="Calibri" w:hAnsi="Times New Roman"/>
          <w:i/>
          <w:snapToGrid/>
          <w:sz w:val="24"/>
          <w:szCs w:val="24"/>
          <w:lang w:val="ro-RO" w:eastAsia="ro-RO"/>
        </w:rPr>
        <w:t xml:space="preserve">ească, </w:t>
      </w:r>
      <w:r w:rsidRPr="009A51FC">
        <w:rPr>
          <w:rFonts w:ascii="Times New Roman" w:eastAsia="Calibri" w:hAnsi="Times New Roman"/>
          <w:i/>
          <w:snapToGrid/>
          <w:sz w:val="24"/>
          <w:szCs w:val="24"/>
          <w:u w:val="single"/>
          <w:lang w:val="ro-RO" w:eastAsia="ro-RO"/>
        </w:rPr>
        <w:t>de regulă</w:t>
      </w:r>
      <w:r w:rsidRPr="009A51FC">
        <w:rPr>
          <w:rFonts w:ascii="Times New Roman" w:eastAsia="Calibri" w:hAnsi="Times New Roman"/>
          <w:i/>
          <w:snapToGrid/>
          <w:sz w:val="24"/>
          <w:szCs w:val="24"/>
          <w:lang w:val="ro-RO" w:eastAsia="ro-RO"/>
        </w:rPr>
        <w:t>, 3 zile lucrătoare de la primirea unei astfel de solicitări din partea unui operator economic.”).</w:t>
      </w:r>
    </w:p>
    <w:p w:rsidR="008E6068" w:rsidRPr="009A51FC" w:rsidRDefault="00165C16" w:rsidP="008E6068">
      <w:pPr>
        <w:numPr>
          <w:ilvl w:val="1"/>
          <w:numId w:val="9"/>
        </w:numPr>
        <w:spacing w:after="0" w:line="360" w:lineRule="auto"/>
        <w:jc w:val="both"/>
        <w:rPr>
          <w:rFonts w:ascii="Times New Roman" w:hAnsi="Times New Roman"/>
          <w:sz w:val="24"/>
          <w:szCs w:val="24"/>
        </w:rPr>
      </w:pPr>
      <w:r>
        <w:rPr>
          <w:rFonts w:ascii="Times New Roman" w:hAnsi="Times New Roman"/>
          <w:sz w:val="24"/>
          <w:szCs w:val="24"/>
        </w:rPr>
        <w:t>Durata</w:t>
      </w:r>
      <w:r w:rsidR="008E6068" w:rsidRPr="009A51FC">
        <w:rPr>
          <w:rFonts w:ascii="Times New Roman" w:hAnsi="Times New Roman"/>
          <w:sz w:val="24"/>
          <w:szCs w:val="24"/>
        </w:rPr>
        <w:t xml:space="preserve"> limit</w:t>
      </w:r>
      <w:r w:rsidR="008E6068" w:rsidRPr="009A51FC">
        <w:rPr>
          <w:rFonts w:ascii="Times New Roman" w:hAnsi="Times New Roman"/>
          <w:sz w:val="24"/>
          <w:szCs w:val="24"/>
          <w:lang w:val="ro-RO"/>
        </w:rPr>
        <w:t xml:space="preserve">ă de trei ani </w:t>
      </w:r>
      <w:r>
        <w:rPr>
          <w:rFonts w:ascii="Times New Roman" w:hAnsi="Times New Roman"/>
          <w:sz w:val="24"/>
          <w:szCs w:val="24"/>
          <w:lang w:val="ro-RO"/>
        </w:rPr>
        <w:t xml:space="preserve">aplicabilă </w:t>
      </w:r>
      <w:r w:rsidR="008E6068" w:rsidRPr="009A51FC">
        <w:rPr>
          <w:rFonts w:ascii="Times New Roman" w:hAnsi="Times New Roman"/>
          <w:sz w:val="24"/>
          <w:szCs w:val="24"/>
          <w:lang w:val="ro-RO"/>
        </w:rPr>
        <w:t xml:space="preserve">contractelor şi actelor adiţionale aferente, atribuite prin procedura de negociere fără publicare prealabilă, </w:t>
      </w:r>
      <w:r>
        <w:rPr>
          <w:rFonts w:ascii="Times New Roman" w:hAnsi="Times New Roman"/>
          <w:sz w:val="24"/>
          <w:szCs w:val="24"/>
          <w:lang w:val="ro-RO"/>
        </w:rPr>
        <w:t xml:space="preserve">poate fi interpretată ca fiind una orientativă, în condițiile în care, conform Articolului 104, </w:t>
      </w:r>
      <w:r w:rsidRPr="00756E39">
        <w:rPr>
          <w:rFonts w:ascii="Times New Roman" w:hAnsi="Times New Roman"/>
          <w:i/>
          <w:sz w:val="24"/>
          <w:szCs w:val="24"/>
        </w:rPr>
        <w:t xml:space="preserve"> </w:t>
      </w:r>
      <w:r w:rsidR="008E6068" w:rsidRPr="00756E39">
        <w:rPr>
          <w:rFonts w:ascii="Times New Roman" w:hAnsi="Times New Roman"/>
          <w:i/>
          <w:sz w:val="24"/>
          <w:szCs w:val="24"/>
        </w:rPr>
        <w:t>“</w:t>
      </w:r>
      <w:r>
        <w:rPr>
          <w:rFonts w:ascii="Times New Roman" w:eastAsia="Calibri" w:hAnsi="Times New Roman"/>
          <w:i/>
          <w:snapToGrid/>
          <w:sz w:val="24"/>
          <w:szCs w:val="24"/>
          <w:lang w:val="ro-RO" w:eastAsia="ro-RO"/>
        </w:rPr>
        <w:t>d</w:t>
      </w:r>
      <w:r w:rsidR="008E6068" w:rsidRPr="009A51FC">
        <w:rPr>
          <w:rFonts w:ascii="Times New Roman" w:eastAsia="Calibri" w:hAnsi="Times New Roman"/>
          <w:i/>
          <w:snapToGrid/>
          <w:sz w:val="24"/>
          <w:szCs w:val="24"/>
          <w:lang w:val="ro-RO" w:eastAsia="ro-RO"/>
        </w:rPr>
        <w:t>urata contractelor/</w:t>
      </w:r>
      <w:r>
        <w:rPr>
          <w:rFonts w:ascii="Times New Roman" w:eastAsia="Calibri" w:hAnsi="Times New Roman"/>
          <w:i/>
          <w:snapToGrid/>
          <w:sz w:val="24"/>
          <w:szCs w:val="24"/>
          <w:lang w:val="ro-RO" w:eastAsia="ro-RO"/>
        </w:rPr>
        <w:t xml:space="preserve"> </w:t>
      </w:r>
      <w:r w:rsidR="008E6068" w:rsidRPr="009A51FC">
        <w:rPr>
          <w:rFonts w:ascii="Times New Roman" w:eastAsia="Calibri" w:hAnsi="Times New Roman"/>
          <w:i/>
          <w:snapToGrid/>
          <w:sz w:val="24"/>
          <w:szCs w:val="24"/>
          <w:lang w:val="ro-RO" w:eastAsia="ro-RO"/>
        </w:rPr>
        <w:t>actelor adiţionale încheiate în temeiul dispoziţiilor alin. (5) lit. b),</w:t>
      </w:r>
      <w:r w:rsidR="008E6068" w:rsidRPr="009A51FC">
        <w:rPr>
          <w:rFonts w:ascii="Times New Roman" w:hAnsi="Times New Roman"/>
          <w:sz w:val="24"/>
          <w:szCs w:val="24"/>
        </w:rPr>
        <w:t xml:space="preserve"> </w:t>
      </w:r>
      <w:r w:rsidR="008E6068" w:rsidRPr="009A51FC">
        <w:rPr>
          <w:rFonts w:ascii="Times New Roman" w:eastAsia="Calibri" w:hAnsi="Times New Roman"/>
          <w:i/>
          <w:snapToGrid/>
          <w:sz w:val="24"/>
          <w:szCs w:val="24"/>
          <w:lang w:val="ro-RO" w:eastAsia="ro-RO"/>
        </w:rPr>
        <w:t>precum si durata contractelor iniţiale nu pot depă</w:t>
      </w:r>
      <w:r w:rsidR="00B962FA" w:rsidRPr="009A51FC">
        <w:rPr>
          <w:rFonts w:ascii="Times New Roman" w:eastAsia="Calibri" w:hAnsi="Times New Roman"/>
          <w:i/>
          <w:snapToGrid/>
          <w:sz w:val="24"/>
          <w:szCs w:val="24"/>
          <w:lang w:val="ro-RO" w:eastAsia="ro-RO"/>
        </w:rPr>
        <w:t>ş</w:t>
      </w:r>
      <w:r w:rsidR="008E6068" w:rsidRPr="009A51FC">
        <w:rPr>
          <w:rFonts w:ascii="Times New Roman" w:eastAsia="Calibri" w:hAnsi="Times New Roman"/>
          <w:i/>
          <w:snapToGrid/>
          <w:sz w:val="24"/>
          <w:szCs w:val="24"/>
          <w:lang w:val="ro-RO" w:eastAsia="ro-RO"/>
        </w:rPr>
        <w:t xml:space="preserve">i, </w:t>
      </w:r>
      <w:r w:rsidR="008E6068" w:rsidRPr="009A51FC">
        <w:rPr>
          <w:rFonts w:ascii="Times New Roman" w:eastAsia="Calibri" w:hAnsi="Times New Roman"/>
          <w:i/>
          <w:snapToGrid/>
          <w:sz w:val="24"/>
          <w:szCs w:val="24"/>
          <w:u w:val="single"/>
          <w:lang w:val="ro-RO" w:eastAsia="ro-RO"/>
        </w:rPr>
        <w:t>de regulă</w:t>
      </w:r>
      <w:r w:rsidR="008E6068" w:rsidRPr="009A51FC">
        <w:rPr>
          <w:rFonts w:ascii="Times New Roman" w:eastAsia="Calibri" w:hAnsi="Times New Roman"/>
          <w:i/>
          <w:snapToGrid/>
          <w:sz w:val="24"/>
          <w:szCs w:val="24"/>
          <w:lang w:val="ro-RO" w:eastAsia="ro-RO"/>
        </w:rPr>
        <w:t>, trei ani</w:t>
      </w:r>
      <w:r w:rsidR="008E6068" w:rsidRPr="009A51FC">
        <w:rPr>
          <w:rFonts w:ascii="Times New Roman" w:eastAsia="Calibri" w:hAnsi="Times New Roman"/>
          <w:i/>
          <w:snapToGrid/>
          <w:sz w:val="24"/>
          <w:szCs w:val="24"/>
          <w:lang w:eastAsia="ro-RO"/>
        </w:rPr>
        <w:t>”</w:t>
      </w:r>
      <w:r w:rsidR="006024DA" w:rsidRPr="009A51FC">
        <w:rPr>
          <w:rFonts w:ascii="Times New Roman" w:eastAsia="Calibri" w:hAnsi="Times New Roman"/>
          <w:i/>
          <w:snapToGrid/>
          <w:sz w:val="24"/>
          <w:szCs w:val="24"/>
          <w:lang w:val="ro-RO" w:eastAsia="ro-RO"/>
        </w:rPr>
        <w:t>.</w:t>
      </w:r>
    </w:p>
    <w:p w:rsidR="00756E39" w:rsidRPr="009A51FC" w:rsidRDefault="00756E39" w:rsidP="00756E39">
      <w:pPr>
        <w:numPr>
          <w:ilvl w:val="1"/>
          <w:numId w:val="9"/>
        </w:numPr>
        <w:spacing w:after="0" w:line="360" w:lineRule="auto"/>
        <w:jc w:val="both"/>
        <w:rPr>
          <w:rFonts w:ascii="Times New Roman" w:hAnsi="Times New Roman"/>
          <w:sz w:val="24"/>
          <w:szCs w:val="24"/>
        </w:rPr>
      </w:pPr>
      <w:r w:rsidRPr="009A51FC">
        <w:rPr>
          <w:rFonts w:ascii="Times New Roman" w:hAnsi="Times New Roman"/>
          <w:sz w:val="24"/>
          <w:szCs w:val="24"/>
          <w:lang w:val="ro-RO"/>
        </w:rPr>
        <w:t>Etapele obligatorii ale procedurii competitive cu negociere sunt</w:t>
      </w:r>
      <w:r w:rsidR="00165C16">
        <w:rPr>
          <w:rFonts w:ascii="Times New Roman" w:hAnsi="Times New Roman"/>
          <w:sz w:val="24"/>
          <w:szCs w:val="24"/>
          <w:lang w:val="ro-RO"/>
        </w:rPr>
        <w:t xml:space="preserve"> mai degrabă </w:t>
      </w:r>
      <w:r w:rsidRPr="009A51FC">
        <w:rPr>
          <w:rFonts w:ascii="Times New Roman" w:hAnsi="Times New Roman"/>
          <w:sz w:val="24"/>
          <w:szCs w:val="24"/>
          <w:lang w:val="ro-RO"/>
        </w:rPr>
        <w:t>facultative, după cum rezultă din Art. 83 alin. (1) (</w:t>
      </w:r>
      <w:r w:rsidRPr="009A51FC">
        <w:rPr>
          <w:rFonts w:ascii="Times New Roman" w:hAnsi="Times New Roman"/>
          <w:sz w:val="24"/>
          <w:szCs w:val="24"/>
        </w:rPr>
        <w:t>“</w:t>
      </w:r>
      <w:r w:rsidRPr="009A51FC">
        <w:rPr>
          <w:rFonts w:ascii="Times New Roman" w:eastAsia="Calibri" w:hAnsi="Times New Roman"/>
          <w:i/>
          <w:snapToGrid/>
          <w:sz w:val="24"/>
          <w:szCs w:val="24"/>
          <w:lang w:val="ro-RO" w:eastAsia="ro-RO"/>
        </w:rPr>
        <w:t xml:space="preserve">procedura competitivă cu negociere se desfăsoară, </w:t>
      </w:r>
      <w:r w:rsidRPr="009A51FC">
        <w:rPr>
          <w:rFonts w:ascii="Times New Roman" w:eastAsia="Calibri" w:hAnsi="Times New Roman"/>
          <w:i/>
          <w:snapToGrid/>
          <w:sz w:val="24"/>
          <w:szCs w:val="24"/>
          <w:u w:val="single"/>
          <w:lang w:val="ro-RO" w:eastAsia="ro-RO"/>
        </w:rPr>
        <w:t>de regulă</w:t>
      </w:r>
      <w:r w:rsidRPr="009A51FC">
        <w:rPr>
          <w:rFonts w:ascii="Times New Roman" w:eastAsia="Calibri" w:hAnsi="Times New Roman"/>
          <w:i/>
          <w:snapToGrid/>
          <w:sz w:val="24"/>
          <w:szCs w:val="24"/>
          <w:lang w:val="ro-RO" w:eastAsia="ro-RO"/>
        </w:rPr>
        <w:t xml:space="preserve">, în trei etape </w:t>
      </w:r>
      <w:r w:rsidRPr="009A51FC">
        <w:rPr>
          <w:rFonts w:ascii="Times New Roman" w:eastAsia="Calibri" w:hAnsi="Times New Roman"/>
          <w:i/>
          <w:snapToGrid/>
          <w:sz w:val="24"/>
          <w:szCs w:val="24"/>
          <w:u w:val="single"/>
          <w:lang w:val="ro-RO" w:eastAsia="ro-RO"/>
        </w:rPr>
        <w:t>obligatorii</w:t>
      </w:r>
      <w:r w:rsidRPr="009A51FC">
        <w:rPr>
          <w:rFonts w:ascii="Times New Roman" w:eastAsia="Calibri" w:hAnsi="Times New Roman"/>
          <w:i/>
          <w:snapToGrid/>
          <w:sz w:val="24"/>
          <w:szCs w:val="24"/>
          <w:lang w:val="ro-RO" w:eastAsia="ro-RO"/>
        </w:rPr>
        <w:t>: ...</w:t>
      </w:r>
      <w:r w:rsidRPr="009A51FC">
        <w:rPr>
          <w:rFonts w:ascii="Times New Roman" w:eastAsia="Calibri" w:hAnsi="Times New Roman"/>
          <w:snapToGrid/>
          <w:sz w:val="24"/>
          <w:szCs w:val="24"/>
          <w:lang w:val="ro-RO" w:eastAsia="ro-RO"/>
        </w:rPr>
        <w:t>”</w:t>
      </w:r>
      <w:r w:rsidRPr="009A51FC">
        <w:rPr>
          <w:rFonts w:ascii="Times New Roman" w:hAnsi="Times New Roman"/>
          <w:sz w:val="24"/>
          <w:szCs w:val="24"/>
          <w:lang w:val="ro-RO"/>
        </w:rPr>
        <w:t>).</w:t>
      </w:r>
    </w:p>
    <w:p w:rsidR="00D71B17" w:rsidRPr="009A51FC" w:rsidRDefault="006024DA" w:rsidP="00D71B17">
      <w:pPr>
        <w:numPr>
          <w:ilvl w:val="1"/>
          <w:numId w:val="9"/>
        </w:numPr>
        <w:spacing w:after="0" w:line="360" w:lineRule="auto"/>
        <w:jc w:val="both"/>
        <w:rPr>
          <w:rFonts w:ascii="Times New Roman" w:hAnsi="Times New Roman"/>
          <w:sz w:val="24"/>
          <w:szCs w:val="24"/>
        </w:rPr>
      </w:pPr>
      <w:r w:rsidRPr="009A51FC">
        <w:rPr>
          <w:rFonts w:ascii="Times New Roman" w:eastAsia="Calibri" w:hAnsi="Times New Roman"/>
          <w:snapToGrid/>
          <w:sz w:val="24"/>
          <w:szCs w:val="24"/>
          <w:lang w:val="ro-RO" w:eastAsia="ro-RO"/>
        </w:rPr>
        <w:t>P</w:t>
      </w:r>
      <w:r w:rsidR="00D0012A" w:rsidRPr="009A51FC">
        <w:rPr>
          <w:rFonts w:ascii="Times New Roman" w:eastAsia="Calibri" w:hAnsi="Times New Roman"/>
          <w:snapToGrid/>
          <w:sz w:val="24"/>
          <w:szCs w:val="24"/>
          <w:lang w:val="ro-RO" w:eastAsia="ro-RO"/>
        </w:rPr>
        <w:t xml:space="preserve">rin derogare, autoritatea </w:t>
      </w:r>
      <w:r w:rsidR="00D71B17" w:rsidRPr="009A51FC">
        <w:rPr>
          <w:rFonts w:ascii="Times New Roman" w:eastAsia="Calibri" w:hAnsi="Times New Roman"/>
          <w:snapToGrid/>
          <w:sz w:val="24"/>
          <w:szCs w:val="24"/>
          <w:lang w:val="ro-RO" w:eastAsia="ro-RO"/>
        </w:rPr>
        <w:t xml:space="preserve">contractantă poate să nu respecte toate </w:t>
      </w:r>
      <w:r w:rsidR="00D0012A" w:rsidRPr="009A51FC">
        <w:rPr>
          <w:rFonts w:ascii="Times New Roman" w:eastAsia="Calibri" w:hAnsi="Times New Roman"/>
          <w:snapToGrid/>
          <w:sz w:val="24"/>
          <w:szCs w:val="24"/>
          <w:lang w:val="ro-RO" w:eastAsia="ro-RO"/>
        </w:rPr>
        <w:t>etapele procedurii de negociere</w:t>
      </w:r>
      <w:r w:rsidR="00D71B17" w:rsidRPr="009A51FC">
        <w:rPr>
          <w:rFonts w:ascii="Times New Roman" w:eastAsia="Calibri" w:hAnsi="Times New Roman"/>
          <w:snapToGrid/>
          <w:sz w:val="24"/>
          <w:szCs w:val="24"/>
          <w:lang w:val="ro-RO" w:eastAsia="ro-RO"/>
        </w:rPr>
        <w:t xml:space="preserve"> competitive, dacă îşi rezervă acesastă posibilitate prin anunţul de participare, fără ca legea să facă însă vreo precizare referitoare la situaţiile concrete în care autoritatea contractantă </w:t>
      </w:r>
      <w:r w:rsidR="00165C16">
        <w:rPr>
          <w:rFonts w:ascii="Times New Roman" w:eastAsia="Calibri" w:hAnsi="Times New Roman"/>
          <w:snapToGrid/>
          <w:sz w:val="24"/>
          <w:szCs w:val="24"/>
          <w:lang w:val="ro-RO" w:eastAsia="ro-RO"/>
        </w:rPr>
        <w:t>are acest drept</w:t>
      </w:r>
      <w:r w:rsidR="00D71B17" w:rsidRPr="009A51FC">
        <w:rPr>
          <w:rFonts w:ascii="Times New Roman" w:eastAsia="Calibri" w:hAnsi="Times New Roman"/>
          <w:snapToGrid/>
          <w:sz w:val="24"/>
          <w:szCs w:val="24"/>
          <w:lang w:val="ro-RO" w:eastAsia="ro-RO"/>
        </w:rPr>
        <w:t>, după cum rezultă din Art. 82 alin. (11) (</w:t>
      </w:r>
      <w:r w:rsidR="00D71B17" w:rsidRPr="009A51FC">
        <w:rPr>
          <w:rFonts w:ascii="Times New Roman" w:hAnsi="Times New Roman"/>
          <w:bCs/>
          <w:i/>
          <w:sz w:val="24"/>
          <w:szCs w:val="24"/>
        </w:rPr>
        <w:t>”</w:t>
      </w:r>
      <w:r w:rsidR="00D71B17" w:rsidRPr="009A51FC">
        <w:rPr>
          <w:rFonts w:ascii="Times New Roman" w:hAnsi="Times New Roman"/>
          <w:i/>
          <w:sz w:val="24"/>
          <w:szCs w:val="24"/>
          <w:u w:val="single"/>
        </w:rPr>
        <w:t>prin derogare</w:t>
      </w:r>
      <w:r w:rsidR="00D71B17" w:rsidRPr="009A51FC">
        <w:rPr>
          <w:rFonts w:ascii="Times New Roman" w:hAnsi="Times New Roman"/>
          <w:i/>
          <w:sz w:val="24"/>
          <w:szCs w:val="24"/>
        </w:rPr>
        <w:t xml:space="preserve"> de la prevederile alin. (1), autoritatea contractantă poate atribui contractul de</w:t>
      </w:r>
      <w:r w:rsidR="00D71B17" w:rsidRPr="009A51FC">
        <w:rPr>
          <w:rFonts w:ascii="Times New Roman" w:hAnsi="Times New Roman"/>
          <w:b/>
          <w:bCs/>
          <w:i/>
          <w:sz w:val="24"/>
          <w:szCs w:val="24"/>
        </w:rPr>
        <w:t xml:space="preserve"> </w:t>
      </w:r>
      <w:r w:rsidR="00D71B17" w:rsidRPr="009A51FC">
        <w:rPr>
          <w:rFonts w:ascii="Times New Roman" w:hAnsi="Times New Roman"/>
          <w:i/>
          <w:sz w:val="24"/>
          <w:szCs w:val="24"/>
        </w:rPr>
        <w:t>achiziție publică/acordul-cadru pe baza ofertelor inițiale, fără parcurgerea etapei prevăzute la alin.</w:t>
      </w:r>
      <w:r w:rsidR="00D71B17" w:rsidRPr="009A51FC">
        <w:rPr>
          <w:rFonts w:ascii="Times New Roman" w:hAnsi="Times New Roman"/>
          <w:b/>
          <w:bCs/>
          <w:i/>
          <w:sz w:val="24"/>
          <w:szCs w:val="24"/>
        </w:rPr>
        <w:t xml:space="preserve"> </w:t>
      </w:r>
      <w:r w:rsidR="00D71B17" w:rsidRPr="009A51FC">
        <w:rPr>
          <w:rFonts w:ascii="Times New Roman" w:hAnsi="Times New Roman"/>
          <w:i/>
          <w:sz w:val="24"/>
          <w:szCs w:val="24"/>
        </w:rPr>
        <w:t>(1) lit. c), în cazul în care si-a rezervat această posibilitate prin anunțul de participare”)</w:t>
      </w:r>
      <w:r w:rsidRPr="009A51FC">
        <w:rPr>
          <w:rFonts w:ascii="Times New Roman" w:hAnsi="Times New Roman"/>
          <w:i/>
          <w:sz w:val="24"/>
          <w:szCs w:val="24"/>
        </w:rPr>
        <w:t>.</w:t>
      </w:r>
      <w:r w:rsidR="00165C16">
        <w:rPr>
          <w:rFonts w:ascii="Times New Roman" w:hAnsi="Times New Roman"/>
          <w:sz w:val="24"/>
          <w:szCs w:val="24"/>
        </w:rPr>
        <w:t xml:space="preserve"> În plus, alin. (1) lit. c) lipsește din actul normativ.</w:t>
      </w:r>
    </w:p>
    <w:p w:rsidR="00E51904" w:rsidRPr="009A51FC" w:rsidRDefault="00D71B17" w:rsidP="00D71B17">
      <w:pPr>
        <w:numPr>
          <w:ilvl w:val="0"/>
          <w:numId w:val="9"/>
        </w:numPr>
        <w:spacing w:after="0" w:line="360" w:lineRule="auto"/>
        <w:jc w:val="both"/>
        <w:rPr>
          <w:rFonts w:ascii="Times New Roman" w:hAnsi="Times New Roman"/>
          <w:sz w:val="24"/>
          <w:szCs w:val="24"/>
        </w:rPr>
      </w:pPr>
      <w:r w:rsidRPr="009A51FC">
        <w:rPr>
          <w:rFonts w:ascii="Times New Roman" w:hAnsi="Times New Roman"/>
          <w:sz w:val="24"/>
          <w:szCs w:val="24"/>
        </w:rPr>
        <w:t>Pe l</w:t>
      </w:r>
      <w:r w:rsidRPr="009A51FC">
        <w:rPr>
          <w:rFonts w:ascii="Times New Roman" w:hAnsi="Times New Roman"/>
          <w:sz w:val="24"/>
          <w:szCs w:val="24"/>
          <w:lang w:val="ro-RO"/>
        </w:rPr>
        <w:t xml:space="preserve">ângă ambiguităţile de mai sus, legea nu detaliază suficient </w:t>
      </w:r>
      <w:r w:rsidR="00165C16">
        <w:rPr>
          <w:rFonts w:ascii="Times New Roman" w:hAnsi="Times New Roman"/>
          <w:sz w:val="24"/>
          <w:szCs w:val="24"/>
          <w:lang w:val="ro-RO"/>
        </w:rPr>
        <w:t xml:space="preserve">de clar </w:t>
      </w:r>
      <w:r w:rsidRPr="009A51FC">
        <w:rPr>
          <w:rFonts w:ascii="Times New Roman" w:hAnsi="Times New Roman"/>
          <w:sz w:val="24"/>
          <w:szCs w:val="24"/>
          <w:lang w:val="ro-RO"/>
        </w:rPr>
        <w:t xml:space="preserve">situaţiile în care sunt aplicabile diferitele tipuri de </w:t>
      </w:r>
      <w:r w:rsidR="00E75791">
        <w:rPr>
          <w:rFonts w:ascii="Times New Roman" w:hAnsi="Times New Roman"/>
          <w:sz w:val="24"/>
          <w:szCs w:val="24"/>
          <w:lang w:val="ro-RO"/>
        </w:rPr>
        <w:t xml:space="preserve">proceduri de </w:t>
      </w:r>
      <w:r w:rsidRPr="009A51FC">
        <w:rPr>
          <w:rFonts w:ascii="Times New Roman" w:hAnsi="Times New Roman"/>
          <w:sz w:val="24"/>
          <w:szCs w:val="24"/>
          <w:lang w:val="ro-RO"/>
        </w:rPr>
        <w:t xml:space="preserve">achiziţii publice, fapt ce afectează, după cum se va arăta în continuare,  </w:t>
      </w:r>
      <w:r w:rsidR="00165C16">
        <w:rPr>
          <w:rFonts w:ascii="Times New Roman" w:hAnsi="Times New Roman"/>
          <w:sz w:val="24"/>
          <w:szCs w:val="24"/>
          <w:lang w:val="ro-RO"/>
        </w:rPr>
        <w:t>atât liberul acces al operatorilor economici, cât și transparența atribuirii contractelor de achiziții publice:</w:t>
      </w:r>
    </w:p>
    <w:p w:rsidR="006024DA" w:rsidRPr="009A51FC" w:rsidRDefault="00165C16" w:rsidP="006024DA">
      <w:pPr>
        <w:numPr>
          <w:ilvl w:val="1"/>
          <w:numId w:val="9"/>
        </w:numPr>
        <w:spacing w:after="0" w:line="360" w:lineRule="auto"/>
        <w:jc w:val="both"/>
        <w:rPr>
          <w:rFonts w:ascii="Times New Roman" w:hAnsi="Times New Roman"/>
          <w:sz w:val="24"/>
          <w:szCs w:val="24"/>
        </w:rPr>
      </w:pPr>
      <w:r>
        <w:rPr>
          <w:rFonts w:ascii="Times New Roman" w:hAnsi="Times New Roman"/>
          <w:sz w:val="24"/>
          <w:szCs w:val="24"/>
        </w:rPr>
        <w:t>În cadrul</w:t>
      </w:r>
      <w:r w:rsidR="006024DA" w:rsidRPr="009A51FC">
        <w:rPr>
          <w:rFonts w:ascii="Times New Roman" w:hAnsi="Times New Roman"/>
          <w:sz w:val="24"/>
          <w:szCs w:val="24"/>
        </w:rPr>
        <w:t xml:space="preserve"> Paragraful</w:t>
      </w:r>
      <w:r>
        <w:rPr>
          <w:rFonts w:ascii="Times New Roman" w:hAnsi="Times New Roman"/>
          <w:sz w:val="24"/>
          <w:szCs w:val="24"/>
        </w:rPr>
        <w:t>ui</w:t>
      </w:r>
      <w:r w:rsidR="006024DA" w:rsidRPr="009A51FC">
        <w:rPr>
          <w:rFonts w:ascii="Times New Roman" w:hAnsi="Times New Roman"/>
          <w:sz w:val="24"/>
          <w:szCs w:val="24"/>
        </w:rPr>
        <w:t xml:space="preserve"> 3 al legii, nu se face niciun fel de referire la </w:t>
      </w:r>
      <w:r>
        <w:rPr>
          <w:rFonts w:ascii="Times New Roman" w:hAnsi="Times New Roman"/>
          <w:sz w:val="24"/>
          <w:szCs w:val="24"/>
        </w:rPr>
        <w:t>contextul și argumentele</w:t>
      </w:r>
      <w:r w:rsidR="006024DA" w:rsidRPr="009A51FC">
        <w:rPr>
          <w:rFonts w:ascii="Times New Roman" w:hAnsi="Times New Roman"/>
          <w:sz w:val="24"/>
          <w:szCs w:val="24"/>
        </w:rPr>
        <w:t xml:space="preserve"> aplicării procedurii de licitaţie rest</w:t>
      </w:r>
      <w:r>
        <w:rPr>
          <w:rFonts w:ascii="Times New Roman" w:hAnsi="Times New Roman"/>
          <w:sz w:val="24"/>
          <w:szCs w:val="24"/>
        </w:rPr>
        <w:t>rânsă în detrimentul celei desch</w:t>
      </w:r>
      <w:r w:rsidR="006024DA" w:rsidRPr="009A51FC">
        <w:rPr>
          <w:rFonts w:ascii="Times New Roman" w:hAnsi="Times New Roman"/>
          <w:sz w:val="24"/>
          <w:szCs w:val="24"/>
        </w:rPr>
        <w:t xml:space="preserve">ise. </w:t>
      </w:r>
      <w:r>
        <w:rPr>
          <w:rFonts w:ascii="Times New Roman" w:hAnsi="Times New Roman"/>
          <w:sz w:val="24"/>
          <w:szCs w:val="24"/>
        </w:rPr>
        <w:t xml:space="preserve">Bazându-ne pe </w:t>
      </w:r>
      <w:r w:rsidR="006024DA" w:rsidRPr="009A51FC">
        <w:rPr>
          <w:rFonts w:ascii="Times New Roman" w:hAnsi="Times New Roman"/>
          <w:bCs/>
          <w:sz w:val="24"/>
          <w:szCs w:val="24"/>
        </w:rPr>
        <w:t>experiența sistemului de achiziții publice</w:t>
      </w:r>
      <w:r>
        <w:rPr>
          <w:rFonts w:ascii="Times New Roman" w:hAnsi="Times New Roman"/>
          <w:bCs/>
          <w:sz w:val="24"/>
          <w:szCs w:val="24"/>
        </w:rPr>
        <w:t xml:space="preserve">, facem precizarea </w:t>
      </w:r>
      <w:r w:rsidR="006024DA" w:rsidRPr="009A51FC">
        <w:rPr>
          <w:rFonts w:ascii="Times New Roman" w:hAnsi="Times New Roman"/>
          <w:bCs/>
          <w:sz w:val="24"/>
          <w:szCs w:val="24"/>
        </w:rPr>
        <w:t xml:space="preserve"> </w:t>
      </w:r>
      <w:r>
        <w:rPr>
          <w:rFonts w:ascii="Times New Roman" w:hAnsi="Times New Roman"/>
          <w:bCs/>
          <w:sz w:val="24"/>
          <w:szCs w:val="24"/>
        </w:rPr>
        <w:t xml:space="preserve">că </w:t>
      </w:r>
      <w:r w:rsidR="006024DA" w:rsidRPr="009A51FC">
        <w:rPr>
          <w:rFonts w:ascii="Times New Roman" w:hAnsi="Times New Roman"/>
          <w:bCs/>
          <w:sz w:val="24"/>
          <w:szCs w:val="24"/>
        </w:rPr>
        <w:t xml:space="preserve">licitația restrânsă este o procedură de achiziție mai puțin transparentă decât cea deschisă și, în același timp, mai predispusă la apariția cazurilor de corupție. Prin urmare, considerăm că licitația restrânsă ar trebui aplicată numai în situații speciale, care </w:t>
      </w:r>
      <w:r>
        <w:rPr>
          <w:rFonts w:ascii="Times New Roman" w:hAnsi="Times New Roman"/>
          <w:bCs/>
          <w:sz w:val="24"/>
          <w:szCs w:val="24"/>
        </w:rPr>
        <w:t>este necesar să fie</w:t>
      </w:r>
      <w:r w:rsidR="006024DA" w:rsidRPr="009A51FC">
        <w:rPr>
          <w:rFonts w:ascii="Times New Roman" w:hAnsi="Times New Roman"/>
          <w:bCs/>
          <w:sz w:val="24"/>
          <w:szCs w:val="24"/>
        </w:rPr>
        <w:t xml:space="preserve"> prevăzute în mod expres de lege. În mod similar, </w:t>
      </w:r>
      <w:r>
        <w:rPr>
          <w:rFonts w:ascii="Times New Roman" w:hAnsi="Times New Roman"/>
          <w:bCs/>
          <w:sz w:val="24"/>
          <w:szCs w:val="24"/>
        </w:rPr>
        <w:t>Legea privind achizițiilor publice ar trebui</w:t>
      </w:r>
      <w:r w:rsidR="006024DA" w:rsidRPr="009A51FC">
        <w:rPr>
          <w:rFonts w:ascii="Times New Roman" w:hAnsi="Times New Roman"/>
          <w:bCs/>
          <w:sz w:val="24"/>
          <w:szCs w:val="24"/>
        </w:rPr>
        <w:t xml:space="preserve"> să specifice în mod clar </w:t>
      </w:r>
      <w:r>
        <w:rPr>
          <w:rFonts w:ascii="Times New Roman" w:hAnsi="Times New Roman"/>
          <w:bCs/>
          <w:sz w:val="24"/>
          <w:szCs w:val="24"/>
        </w:rPr>
        <w:t xml:space="preserve">și </w:t>
      </w:r>
      <w:r w:rsidR="006024DA" w:rsidRPr="009A51FC">
        <w:rPr>
          <w:rFonts w:ascii="Times New Roman" w:hAnsi="Times New Roman"/>
          <w:bCs/>
          <w:sz w:val="24"/>
          <w:szCs w:val="24"/>
        </w:rPr>
        <w:t>condițiile de aplicare a procedurilor de negociere și dialog competitiv.</w:t>
      </w:r>
    </w:p>
    <w:p w:rsidR="006024DA" w:rsidRPr="009A51FC" w:rsidRDefault="006024DA" w:rsidP="006024DA">
      <w:pPr>
        <w:numPr>
          <w:ilvl w:val="1"/>
          <w:numId w:val="9"/>
        </w:numPr>
        <w:spacing w:after="0" w:line="360" w:lineRule="auto"/>
        <w:jc w:val="both"/>
        <w:rPr>
          <w:rFonts w:ascii="Times New Roman" w:hAnsi="Times New Roman"/>
          <w:sz w:val="24"/>
          <w:szCs w:val="24"/>
        </w:rPr>
      </w:pPr>
      <w:r w:rsidRPr="009A51FC">
        <w:rPr>
          <w:rFonts w:ascii="Times New Roman" w:hAnsi="Times New Roman"/>
          <w:bCs/>
          <w:sz w:val="24"/>
          <w:szCs w:val="24"/>
        </w:rPr>
        <w:t>Conform Art. 104</w:t>
      </w:r>
      <w:r w:rsidRPr="009A51FC">
        <w:rPr>
          <w:rFonts w:ascii="Times New Roman" w:hAnsi="Times New Roman"/>
          <w:sz w:val="24"/>
          <w:szCs w:val="24"/>
        </w:rPr>
        <w:t xml:space="preserve"> alin. </w:t>
      </w:r>
      <w:r w:rsidRPr="009A51FC">
        <w:rPr>
          <w:rFonts w:ascii="Times New Roman" w:hAnsi="Times New Roman"/>
          <w:bCs/>
          <w:sz w:val="24"/>
          <w:szCs w:val="24"/>
        </w:rPr>
        <w:t xml:space="preserve"> (1) și (2)</w:t>
      </w:r>
      <w:r w:rsidRPr="009A51FC">
        <w:rPr>
          <w:rFonts w:ascii="Times New Roman" w:hAnsi="Times New Roman"/>
          <w:bCs/>
          <w:i/>
          <w:sz w:val="24"/>
          <w:szCs w:val="24"/>
        </w:rPr>
        <w:t>, "</w:t>
      </w:r>
      <w:r w:rsidRPr="009A51FC">
        <w:rPr>
          <w:rFonts w:ascii="Times New Roman" w:hAnsi="Times New Roman"/>
          <w:i/>
          <w:sz w:val="24"/>
          <w:szCs w:val="24"/>
        </w:rPr>
        <w:t>procedura de negociere fără publicarea prealabilă a unui anunț de participare</w:t>
      </w:r>
      <w:r w:rsidRPr="009A51FC">
        <w:rPr>
          <w:rFonts w:ascii="Times New Roman" w:hAnsi="Times New Roman"/>
          <w:bCs/>
          <w:i/>
          <w:sz w:val="24"/>
          <w:szCs w:val="24"/>
        </w:rPr>
        <w:t>"</w:t>
      </w:r>
      <w:r w:rsidRPr="009A51FC">
        <w:rPr>
          <w:rFonts w:ascii="Times New Roman" w:hAnsi="Times New Roman"/>
          <w:bCs/>
          <w:sz w:val="24"/>
          <w:szCs w:val="24"/>
        </w:rPr>
        <w:t xml:space="preserve"> se poate aplica, printre altele, atunci când </w:t>
      </w:r>
      <w:r w:rsidRPr="009A51FC">
        <w:rPr>
          <w:rFonts w:ascii="Times New Roman" w:hAnsi="Times New Roman"/>
          <w:bCs/>
          <w:i/>
          <w:sz w:val="24"/>
          <w:szCs w:val="24"/>
        </w:rPr>
        <w:t>"</w:t>
      </w:r>
      <w:r w:rsidRPr="009A51FC">
        <w:rPr>
          <w:rFonts w:ascii="Times New Roman" w:hAnsi="Times New Roman"/>
          <w:i/>
          <w:sz w:val="24"/>
          <w:szCs w:val="24"/>
        </w:rPr>
        <w:t>concurența lipseste din motive tehnice</w:t>
      </w:r>
      <w:r w:rsidRPr="00165C16">
        <w:rPr>
          <w:rFonts w:ascii="Times New Roman" w:hAnsi="Times New Roman"/>
          <w:bCs/>
          <w:i/>
          <w:sz w:val="24"/>
          <w:szCs w:val="24"/>
        </w:rPr>
        <w:t>"</w:t>
      </w:r>
      <w:r w:rsidRPr="00165C16">
        <w:rPr>
          <w:rFonts w:ascii="Times New Roman" w:hAnsi="Times New Roman"/>
          <w:bCs/>
          <w:sz w:val="24"/>
          <w:szCs w:val="24"/>
        </w:rPr>
        <w:t>.</w:t>
      </w:r>
      <w:r w:rsidRPr="009A51FC">
        <w:rPr>
          <w:rFonts w:ascii="Times New Roman" w:hAnsi="Times New Roman"/>
          <w:b/>
          <w:bCs/>
          <w:sz w:val="24"/>
          <w:szCs w:val="24"/>
        </w:rPr>
        <w:t xml:space="preserve"> </w:t>
      </w:r>
      <w:r w:rsidRPr="009A51FC">
        <w:rPr>
          <w:rFonts w:ascii="Times New Roman" w:hAnsi="Times New Roman"/>
          <w:bCs/>
          <w:sz w:val="24"/>
          <w:szCs w:val="24"/>
        </w:rPr>
        <w:t xml:space="preserve">Considerăm că, în lipsa unor clarificări, articolul în cauză încalcă principiile de atribuire a contractelor de achiziţie publică </w:t>
      </w:r>
      <w:r w:rsidR="0078526B">
        <w:rPr>
          <w:rFonts w:ascii="Times New Roman" w:hAnsi="Times New Roman"/>
          <w:bCs/>
          <w:sz w:val="24"/>
          <w:szCs w:val="24"/>
        </w:rPr>
        <w:t>având în vedere că</w:t>
      </w:r>
      <w:r w:rsidRPr="009A51FC">
        <w:rPr>
          <w:rFonts w:ascii="Times New Roman" w:hAnsi="Times New Roman"/>
          <w:bCs/>
          <w:sz w:val="24"/>
          <w:szCs w:val="24"/>
        </w:rPr>
        <w:t>, în lipsa unui anunț de participare care să asigure o cercetare de piață reală și transparentă, autoritate</w:t>
      </w:r>
      <w:r w:rsidR="00E75791">
        <w:rPr>
          <w:rFonts w:ascii="Times New Roman" w:hAnsi="Times New Roman"/>
          <w:bCs/>
          <w:sz w:val="24"/>
          <w:szCs w:val="24"/>
        </w:rPr>
        <w:t>a contractantă nu poate aprecia,</w:t>
      </w:r>
      <w:r w:rsidRPr="009A51FC">
        <w:rPr>
          <w:rFonts w:ascii="Times New Roman" w:hAnsi="Times New Roman"/>
          <w:bCs/>
          <w:sz w:val="24"/>
          <w:szCs w:val="24"/>
        </w:rPr>
        <w:t xml:space="preserve"> în mod obiectiv, lipsa concurenței din motive tehnice.</w:t>
      </w:r>
    </w:p>
    <w:p w:rsidR="006024DA" w:rsidRPr="009A51FC" w:rsidRDefault="006024DA" w:rsidP="006024DA">
      <w:pPr>
        <w:numPr>
          <w:ilvl w:val="1"/>
          <w:numId w:val="9"/>
        </w:numPr>
        <w:spacing w:after="0" w:line="360" w:lineRule="auto"/>
        <w:jc w:val="both"/>
        <w:rPr>
          <w:rFonts w:ascii="Times New Roman" w:hAnsi="Times New Roman"/>
          <w:sz w:val="24"/>
          <w:szCs w:val="24"/>
        </w:rPr>
      </w:pPr>
      <w:r w:rsidRPr="009A51FC">
        <w:rPr>
          <w:rFonts w:ascii="Times New Roman" w:hAnsi="Times New Roman"/>
          <w:bCs/>
          <w:sz w:val="24"/>
          <w:szCs w:val="24"/>
        </w:rPr>
        <w:t xml:space="preserve">De asemenea, Patronatul Serviciilor Private din România solicită şi </w:t>
      </w:r>
      <w:r w:rsidR="00F71034" w:rsidRPr="009A51FC">
        <w:rPr>
          <w:rFonts w:ascii="Times New Roman" w:hAnsi="Times New Roman"/>
          <w:bCs/>
          <w:sz w:val="24"/>
          <w:szCs w:val="24"/>
        </w:rPr>
        <w:t>clarificarea criteriilor</w:t>
      </w:r>
      <w:r w:rsidRPr="009A51FC">
        <w:rPr>
          <w:rFonts w:ascii="Times New Roman" w:hAnsi="Times New Roman"/>
          <w:sz w:val="24"/>
          <w:szCs w:val="24"/>
        </w:rPr>
        <w:t xml:space="preserve"> în baza cărora autoritatea contractantă are dreptul de a aplica procedura de negociere competitivă sau </w:t>
      </w:r>
      <w:r w:rsidR="00F71034" w:rsidRPr="009A51FC">
        <w:rPr>
          <w:rFonts w:ascii="Times New Roman" w:hAnsi="Times New Roman"/>
          <w:sz w:val="24"/>
          <w:szCs w:val="24"/>
        </w:rPr>
        <w:t>cea</w:t>
      </w:r>
      <w:r w:rsidRPr="009A51FC">
        <w:rPr>
          <w:rFonts w:ascii="Times New Roman" w:hAnsi="Times New Roman"/>
          <w:sz w:val="24"/>
          <w:szCs w:val="24"/>
        </w:rPr>
        <w:t xml:space="preserve"> de dialog competitiv, în condiţiile în care criteriile menționate în cadrul Art. 70 includ formulări neclare și/sau alambicate, cum ar fi, spre exemplu: </w:t>
      </w:r>
      <w:r w:rsidRPr="009A51FC">
        <w:rPr>
          <w:rFonts w:ascii="Times New Roman" w:hAnsi="Times New Roman"/>
          <w:i/>
          <w:sz w:val="24"/>
          <w:szCs w:val="24"/>
        </w:rPr>
        <w:t xml:space="preserve">"necesitățile autorității contractante nu pot fi asigurate fără </w:t>
      </w:r>
      <w:r w:rsidRPr="009A51FC">
        <w:rPr>
          <w:rFonts w:ascii="Times New Roman" w:hAnsi="Times New Roman"/>
          <w:i/>
          <w:sz w:val="24"/>
          <w:szCs w:val="24"/>
          <w:u w:val="single"/>
        </w:rPr>
        <w:t>adaptarea soluțiilor disponibile în mod rapid pe piață</w:t>
      </w:r>
      <w:r w:rsidRPr="009A51FC">
        <w:rPr>
          <w:rFonts w:ascii="Times New Roman" w:hAnsi="Times New Roman"/>
          <w:sz w:val="24"/>
          <w:szCs w:val="24"/>
        </w:rPr>
        <w:t xml:space="preserve">" sau </w:t>
      </w:r>
      <w:r w:rsidRPr="009A51FC">
        <w:rPr>
          <w:rFonts w:ascii="Times New Roman" w:hAnsi="Times New Roman"/>
          <w:i/>
          <w:sz w:val="24"/>
          <w:szCs w:val="24"/>
        </w:rPr>
        <w:t xml:space="preserve">"contractul nu poate fi atribuit fără negocieri prealabile din cauza unor </w:t>
      </w:r>
      <w:r w:rsidRPr="009A51FC">
        <w:rPr>
          <w:rFonts w:ascii="Times New Roman" w:hAnsi="Times New Roman"/>
          <w:i/>
          <w:sz w:val="24"/>
          <w:szCs w:val="24"/>
          <w:u w:val="single"/>
        </w:rPr>
        <w:t>circumstanțe specifice legate de natura ori complexitatea sa sau de structura juridică si financiară ori din cauza riscurilor legate de acestea</w:t>
      </w:r>
      <w:r w:rsidRPr="009A51FC">
        <w:rPr>
          <w:rFonts w:ascii="Times New Roman" w:hAnsi="Times New Roman"/>
          <w:i/>
          <w:sz w:val="24"/>
          <w:szCs w:val="24"/>
        </w:rPr>
        <w:t>"</w:t>
      </w:r>
      <w:r w:rsidRPr="009A51FC">
        <w:rPr>
          <w:rFonts w:ascii="Times New Roman" w:hAnsi="Times New Roman"/>
          <w:sz w:val="24"/>
          <w:szCs w:val="24"/>
        </w:rPr>
        <w:t>.</w:t>
      </w:r>
    </w:p>
    <w:p w:rsidR="00AC1BE8" w:rsidRPr="009A51FC" w:rsidRDefault="00AC1BE8" w:rsidP="00AC1BE8">
      <w:pPr>
        <w:numPr>
          <w:ilvl w:val="1"/>
          <w:numId w:val="9"/>
        </w:numPr>
        <w:spacing w:after="0" w:line="360" w:lineRule="auto"/>
        <w:jc w:val="both"/>
        <w:rPr>
          <w:rFonts w:ascii="Times New Roman" w:hAnsi="Times New Roman"/>
          <w:sz w:val="24"/>
          <w:szCs w:val="24"/>
        </w:rPr>
      </w:pPr>
      <w:r w:rsidRPr="009A51FC">
        <w:rPr>
          <w:rFonts w:ascii="Times New Roman" w:hAnsi="Times New Roman"/>
          <w:bCs/>
          <w:sz w:val="24"/>
          <w:szCs w:val="24"/>
        </w:rPr>
        <w:t xml:space="preserve">Din Articolul 104 </w:t>
      </w:r>
      <w:r w:rsidRPr="009A51FC">
        <w:rPr>
          <w:rFonts w:ascii="Times New Roman" w:hAnsi="Times New Roman"/>
          <w:sz w:val="24"/>
          <w:szCs w:val="24"/>
        </w:rPr>
        <w:t xml:space="preserve">alin. </w:t>
      </w:r>
      <w:r w:rsidRPr="009A51FC">
        <w:rPr>
          <w:rFonts w:ascii="Times New Roman" w:hAnsi="Times New Roman"/>
          <w:bCs/>
          <w:sz w:val="24"/>
          <w:szCs w:val="24"/>
        </w:rPr>
        <w:t>(5)</w:t>
      </w:r>
      <w:r w:rsidRPr="0078526B">
        <w:rPr>
          <w:rFonts w:ascii="Times New Roman" w:hAnsi="Times New Roman"/>
          <w:bCs/>
          <w:sz w:val="24"/>
          <w:szCs w:val="24"/>
        </w:rPr>
        <w:t>,</w:t>
      </w:r>
      <w:r w:rsidRPr="009A51FC">
        <w:rPr>
          <w:rFonts w:ascii="Times New Roman" w:hAnsi="Times New Roman"/>
          <w:b/>
          <w:bCs/>
          <w:sz w:val="24"/>
          <w:szCs w:val="24"/>
        </w:rPr>
        <w:t xml:space="preserve"> </w:t>
      </w:r>
      <w:r w:rsidRPr="009A51FC">
        <w:rPr>
          <w:rFonts w:ascii="Times New Roman" w:hAnsi="Times New Roman"/>
          <w:bCs/>
          <w:sz w:val="24"/>
          <w:szCs w:val="24"/>
        </w:rPr>
        <w:t>se înțelege că procedura de negociere fără publicare prealabilă se poate aplica</w:t>
      </w:r>
      <w:r w:rsidRPr="009A51FC">
        <w:rPr>
          <w:rFonts w:ascii="Times New Roman" w:hAnsi="Times New Roman"/>
          <w:b/>
          <w:bCs/>
          <w:sz w:val="24"/>
          <w:szCs w:val="24"/>
        </w:rPr>
        <w:t xml:space="preserve"> </w:t>
      </w:r>
      <w:r w:rsidRPr="009A51FC">
        <w:rPr>
          <w:rFonts w:ascii="Times New Roman" w:hAnsi="Times New Roman"/>
          <w:b/>
          <w:bCs/>
          <w:i/>
          <w:sz w:val="24"/>
          <w:szCs w:val="24"/>
        </w:rPr>
        <w:t>"</w:t>
      </w:r>
      <w:r w:rsidRPr="009A51FC">
        <w:rPr>
          <w:rFonts w:ascii="Times New Roman" w:hAnsi="Times New Roman"/>
          <w:i/>
          <w:sz w:val="24"/>
          <w:szCs w:val="24"/>
        </w:rPr>
        <w:t>pentru cumpărarea de produse sau servicii în condiții speciale avantajoase de la un operator economic ca</w:t>
      </w:r>
      <w:r w:rsidR="0078526B">
        <w:rPr>
          <w:rFonts w:ascii="Times New Roman" w:hAnsi="Times New Roman"/>
          <w:i/>
          <w:sz w:val="24"/>
          <w:szCs w:val="24"/>
        </w:rPr>
        <w:t>re încetează definitiv activităț</w:t>
      </w:r>
      <w:r w:rsidRPr="009A51FC">
        <w:rPr>
          <w:rFonts w:ascii="Times New Roman" w:hAnsi="Times New Roman"/>
          <w:i/>
          <w:sz w:val="24"/>
          <w:szCs w:val="24"/>
        </w:rPr>
        <w:t xml:space="preserve">ile comerciale sau care se află întro procedură de </w:t>
      </w:r>
      <w:r w:rsidRPr="009A51FC">
        <w:rPr>
          <w:rFonts w:ascii="Times New Roman" w:hAnsi="Times New Roman"/>
          <w:i/>
          <w:sz w:val="24"/>
          <w:szCs w:val="24"/>
          <w:u w:val="single"/>
        </w:rPr>
        <w:t>faliment, de concordat preventiv sau într-o procedură similară</w:t>
      </w:r>
      <w:r w:rsidRPr="009A51FC">
        <w:rPr>
          <w:rFonts w:ascii="Times New Roman" w:hAnsi="Times New Roman"/>
          <w:bCs/>
          <w:i/>
          <w:sz w:val="24"/>
          <w:szCs w:val="24"/>
        </w:rPr>
        <w:t xml:space="preserve">". </w:t>
      </w:r>
      <w:r w:rsidRPr="009A51FC">
        <w:rPr>
          <w:rFonts w:ascii="Times New Roman" w:hAnsi="Times New Roman"/>
          <w:bCs/>
          <w:sz w:val="24"/>
          <w:szCs w:val="24"/>
        </w:rPr>
        <w:t>Apreciem că</w:t>
      </w:r>
      <w:r w:rsidR="0078526B">
        <w:rPr>
          <w:rFonts w:ascii="Times New Roman" w:hAnsi="Times New Roman"/>
          <w:bCs/>
          <w:sz w:val="24"/>
          <w:szCs w:val="24"/>
        </w:rPr>
        <w:t xml:space="preserve">, pe lângă lipsa de transparență, o astfel de abordare poate </w:t>
      </w:r>
      <w:r w:rsidR="00E75791">
        <w:rPr>
          <w:rFonts w:ascii="Times New Roman" w:hAnsi="Times New Roman"/>
          <w:bCs/>
          <w:sz w:val="24"/>
          <w:szCs w:val="24"/>
        </w:rPr>
        <w:t>con</w:t>
      </w:r>
      <w:r w:rsidR="0078526B">
        <w:rPr>
          <w:rFonts w:ascii="Times New Roman" w:hAnsi="Times New Roman"/>
          <w:bCs/>
          <w:sz w:val="24"/>
          <w:szCs w:val="24"/>
        </w:rPr>
        <w:t>duce la încălcarea principiului</w:t>
      </w:r>
      <w:r w:rsidRPr="009A51FC">
        <w:rPr>
          <w:rFonts w:ascii="Times New Roman" w:hAnsi="Times New Roman"/>
          <w:bCs/>
          <w:sz w:val="24"/>
          <w:szCs w:val="24"/>
        </w:rPr>
        <w:t xml:space="preserve"> celui mai bun raport calitate-preț, </w:t>
      </w:r>
      <w:r w:rsidR="0078526B">
        <w:rPr>
          <w:rFonts w:ascii="Times New Roman" w:hAnsi="Times New Roman"/>
          <w:bCs/>
          <w:sz w:val="24"/>
          <w:szCs w:val="24"/>
        </w:rPr>
        <w:t>datorită</w:t>
      </w:r>
      <w:r w:rsidRPr="009A51FC">
        <w:rPr>
          <w:rFonts w:ascii="Times New Roman" w:hAnsi="Times New Roman"/>
          <w:bCs/>
          <w:sz w:val="24"/>
          <w:szCs w:val="24"/>
        </w:rPr>
        <w:t xml:space="preserve"> unui cost ridicat aferent ciclului de viață </w:t>
      </w:r>
      <w:r w:rsidR="0078526B">
        <w:rPr>
          <w:rFonts w:ascii="Times New Roman" w:hAnsi="Times New Roman"/>
          <w:bCs/>
          <w:sz w:val="24"/>
          <w:szCs w:val="24"/>
        </w:rPr>
        <w:t>al produselor/serviciilor achiziționate</w:t>
      </w:r>
      <w:r w:rsidRPr="009A51FC">
        <w:rPr>
          <w:rFonts w:ascii="Times New Roman" w:hAnsi="Times New Roman"/>
          <w:bCs/>
          <w:sz w:val="24"/>
          <w:szCs w:val="24"/>
        </w:rPr>
        <w:t xml:space="preserve">. </w:t>
      </w:r>
      <w:r w:rsidR="0078526B">
        <w:rPr>
          <w:rFonts w:ascii="Times New Roman" w:hAnsi="Times New Roman"/>
          <w:bCs/>
          <w:sz w:val="24"/>
          <w:szCs w:val="24"/>
        </w:rPr>
        <w:t xml:space="preserve">Avem în vedere </w:t>
      </w:r>
      <w:r w:rsidR="00E75791">
        <w:rPr>
          <w:rFonts w:ascii="Times New Roman" w:hAnsi="Times New Roman"/>
          <w:bCs/>
          <w:sz w:val="24"/>
          <w:szCs w:val="24"/>
        </w:rPr>
        <w:t>riscul</w:t>
      </w:r>
      <w:r w:rsidR="0078526B">
        <w:rPr>
          <w:rFonts w:ascii="Times New Roman" w:hAnsi="Times New Roman"/>
          <w:bCs/>
          <w:sz w:val="24"/>
          <w:szCs w:val="24"/>
        </w:rPr>
        <w:t xml:space="preserve"> ca </w:t>
      </w:r>
      <w:r w:rsidRPr="009A51FC">
        <w:rPr>
          <w:rFonts w:ascii="Times New Roman" w:hAnsi="Times New Roman"/>
          <w:bCs/>
          <w:sz w:val="24"/>
          <w:szCs w:val="24"/>
        </w:rPr>
        <w:t xml:space="preserve">un operator economic aflat în stare de faliment la momentul achiziției, să </w:t>
      </w:r>
      <w:r w:rsidR="0078526B">
        <w:rPr>
          <w:rFonts w:ascii="Times New Roman" w:hAnsi="Times New Roman"/>
          <w:bCs/>
          <w:sz w:val="24"/>
          <w:szCs w:val="24"/>
        </w:rPr>
        <w:t xml:space="preserve">nu fie capabil să </w:t>
      </w:r>
      <w:r w:rsidRPr="009A51FC">
        <w:rPr>
          <w:rFonts w:ascii="Times New Roman" w:hAnsi="Times New Roman"/>
          <w:bCs/>
          <w:sz w:val="24"/>
          <w:szCs w:val="24"/>
        </w:rPr>
        <w:t>asigure în mod cor</w:t>
      </w:r>
      <w:r w:rsidR="00E75791">
        <w:rPr>
          <w:rFonts w:ascii="Times New Roman" w:hAnsi="Times New Roman"/>
          <w:bCs/>
          <w:sz w:val="24"/>
          <w:szCs w:val="24"/>
        </w:rPr>
        <w:t>espunzător serviciile post-vânzare asumate prin contract</w:t>
      </w:r>
      <w:r w:rsidRPr="009A51FC">
        <w:rPr>
          <w:rFonts w:ascii="Times New Roman" w:hAnsi="Times New Roman"/>
          <w:bCs/>
          <w:sz w:val="24"/>
          <w:szCs w:val="24"/>
        </w:rPr>
        <w:t>, pe înt</w:t>
      </w:r>
      <w:r w:rsidR="0078526B">
        <w:rPr>
          <w:rFonts w:ascii="Times New Roman" w:hAnsi="Times New Roman"/>
          <w:bCs/>
          <w:sz w:val="24"/>
          <w:szCs w:val="24"/>
        </w:rPr>
        <w:t xml:space="preserve">reg ciclul de viață al </w:t>
      </w:r>
      <w:r w:rsidR="00E75791">
        <w:rPr>
          <w:rFonts w:ascii="Times New Roman" w:hAnsi="Times New Roman"/>
          <w:bCs/>
          <w:sz w:val="24"/>
          <w:szCs w:val="24"/>
        </w:rPr>
        <w:t>produselor/serviciilor furnizate</w:t>
      </w:r>
      <w:r w:rsidR="0078526B">
        <w:rPr>
          <w:rFonts w:ascii="Times New Roman" w:hAnsi="Times New Roman"/>
          <w:bCs/>
          <w:sz w:val="24"/>
          <w:szCs w:val="24"/>
        </w:rPr>
        <w:t>.</w:t>
      </w:r>
      <w:r w:rsidRPr="009A51FC">
        <w:rPr>
          <w:rFonts w:ascii="Times New Roman" w:hAnsi="Times New Roman"/>
          <w:bCs/>
          <w:sz w:val="24"/>
          <w:szCs w:val="24"/>
        </w:rPr>
        <w:t xml:space="preserve"> Pe cale de consecinţă</w:t>
      </w:r>
      <w:r w:rsidR="0078526B">
        <w:rPr>
          <w:rFonts w:ascii="Times New Roman" w:hAnsi="Times New Roman"/>
          <w:bCs/>
          <w:sz w:val="24"/>
          <w:szCs w:val="24"/>
        </w:rPr>
        <w:t>,</w:t>
      </w:r>
      <w:r w:rsidRPr="009A51FC">
        <w:rPr>
          <w:rFonts w:ascii="Times New Roman" w:hAnsi="Times New Roman"/>
          <w:bCs/>
          <w:sz w:val="24"/>
          <w:szCs w:val="24"/>
        </w:rPr>
        <w:t xml:space="preserve"> Patronatul Serviciilor Private din România solicită</w:t>
      </w:r>
      <w:r w:rsidRPr="009A51FC">
        <w:rPr>
          <w:rFonts w:ascii="Times New Roman" w:hAnsi="Times New Roman"/>
          <w:sz w:val="24"/>
          <w:szCs w:val="24"/>
        </w:rPr>
        <w:t xml:space="preserve"> </w:t>
      </w:r>
      <w:r w:rsidRPr="009A51FC">
        <w:rPr>
          <w:rFonts w:ascii="Times New Roman" w:hAnsi="Times New Roman"/>
          <w:bCs/>
          <w:sz w:val="24"/>
          <w:szCs w:val="24"/>
        </w:rPr>
        <w:t xml:space="preserve">modificarea Articolului 104 </w:t>
      </w:r>
      <w:r w:rsidRPr="009A51FC">
        <w:rPr>
          <w:rFonts w:ascii="Times New Roman" w:hAnsi="Times New Roman"/>
          <w:sz w:val="24"/>
          <w:szCs w:val="24"/>
        </w:rPr>
        <w:t xml:space="preserve">alin. </w:t>
      </w:r>
      <w:r w:rsidRPr="009A51FC">
        <w:rPr>
          <w:rFonts w:ascii="Times New Roman" w:hAnsi="Times New Roman"/>
          <w:bCs/>
          <w:sz w:val="24"/>
          <w:szCs w:val="24"/>
        </w:rPr>
        <w:t>(1) și (2), în condițiile în care favorizează încălcarea principiilor transparenței, nediscriminării și tratamentului egal, precum și a principiului obținerii celui mai bun raport calitate-preț.</w:t>
      </w:r>
    </w:p>
    <w:p w:rsidR="00BD64B5" w:rsidRPr="009A51FC" w:rsidRDefault="004B1C3F" w:rsidP="00AC1BE8">
      <w:pPr>
        <w:numPr>
          <w:ilvl w:val="1"/>
          <w:numId w:val="9"/>
        </w:numPr>
        <w:spacing w:after="0" w:line="360" w:lineRule="auto"/>
        <w:jc w:val="both"/>
        <w:rPr>
          <w:rFonts w:ascii="Times New Roman" w:hAnsi="Times New Roman"/>
          <w:sz w:val="24"/>
          <w:szCs w:val="24"/>
        </w:rPr>
      </w:pPr>
      <w:r>
        <w:rPr>
          <w:rFonts w:ascii="Times New Roman" w:hAnsi="Times New Roman"/>
          <w:sz w:val="24"/>
          <w:szCs w:val="24"/>
        </w:rPr>
        <w:t>De asemenea</w:t>
      </w:r>
      <w:r w:rsidR="00BD64B5" w:rsidRPr="009A51FC">
        <w:rPr>
          <w:rFonts w:ascii="Times New Roman" w:hAnsi="Times New Roman"/>
          <w:sz w:val="24"/>
          <w:szCs w:val="24"/>
        </w:rPr>
        <w:t>, tot</w:t>
      </w:r>
      <w:r>
        <w:rPr>
          <w:rFonts w:ascii="Times New Roman" w:hAnsi="Times New Roman"/>
          <w:sz w:val="24"/>
          <w:szCs w:val="24"/>
        </w:rPr>
        <w:t xml:space="preserve"> cu privire</w:t>
      </w:r>
      <w:r w:rsidR="00BD64B5" w:rsidRPr="009A51FC">
        <w:rPr>
          <w:rFonts w:ascii="Times New Roman" w:hAnsi="Times New Roman"/>
          <w:sz w:val="24"/>
          <w:szCs w:val="24"/>
        </w:rPr>
        <w:t xml:space="preserve"> la condiţii</w:t>
      </w:r>
      <w:r>
        <w:rPr>
          <w:rFonts w:ascii="Times New Roman" w:hAnsi="Times New Roman"/>
          <w:sz w:val="24"/>
          <w:szCs w:val="24"/>
        </w:rPr>
        <w:t>le</w:t>
      </w:r>
      <w:r w:rsidR="00BD64B5" w:rsidRPr="009A51FC">
        <w:rPr>
          <w:rFonts w:ascii="Times New Roman" w:hAnsi="Times New Roman"/>
          <w:sz w:val="24"/>
          <w:szCs w:val="24"/>
        </w:rPr>
        <w:t xml:space="preserve"> de aplicare a prev</w:t>
      </w:r>
      <w:r>
        <w:rPr>
          <w:rFonts w:ascii="Times New Roman" w:hAnsi="Times New Roman"/>
          <w:sz w:val="24"/>
          <w:szCs w:val="24"/>
        </w:rPr>
        <w:t>ederilor L</w:t>
      </w:r>
      <w:r w:rsidR="00BD64B5" w:rsidRPr="009A51FC">
        <w:rPr>
          <w:rFonts w:ascii="Times New Roman" w:hAnsi="Times New Roman"/>
          <w:sz w:val="24"/>
          <w:szCs w:val="24"/>
        </w:rPr>
        <w:t xml:space="preserve">egii, solicităm şi reformularea altor exprimări </w:t>
      </w:r>
      <w:r>
        <w:rPr>
          <w:rFonts w:ascii="Times New Roman" w:hAnsi="Times New Roman"/>
          <w:sz w:val="24"/>
          <w:szCs w:val="24"/>
        </w:rPr>
        <w:t>interpretabile</w:t>
      </w:r>
      <w:r w:rsidR="00BD64B5" w:rsidRPr="009A51FC">
        <w:rPr>
          <w:rFonts w:ascii="Times New Roman" w:hAnsi="Times New Roman"/>
          <w:sz w:val="24"/>
          <w:szCs w:val="24"/>
        </w:rPr>
        <w:t>, cum ar fi cele din Art. 31 alin. (6) (”</w:t>
      </w:r>
      <w:r w:rsidR="00BD64B5" w:rsidRPr="009A51FC">
        <w:rPr>
          <w:rFonts w:ascii="Times New Roman" w:hAnsi="Times New Roman"/>
          <w:i/>
          <w:sz w:val="24"/>
          <w:szCs w:val="24"/>
        </w:rPr>
        <w:t xml:space="preserve">cooperări care are la bază </w:t>
      </w:r>
      <w:r w:rsidR="00BD64B5" w:rsidRPr="009A51FC">
        <w:rPr>
          <w:rFonts w:ascii="Times New Roman" w:hAnsi="Times New Roman"/>
          <w:i/>
          <w:sz w:val="24"/>
          <w:szCs w:val="24"/>
          <w:u w:val="single"/>
        </w:rPr>
        <w:t>exclusiv considerații de interes public</w:t>
      </w:r>
      <w:r w:rsidR="00BD64B5" w:rsidRPr="009A51FC">
        <w:rPr>
          <w:rFonts w:ascii="Times New Roman" w:hAnsi="Times New Roman"/>
          <w:i/>
          <w:sz w:val="24"/>
          <w:szCs w:val="24"/>
        </w:rPr>
        <w:t xml:space="preserve">” </w:t>
      </w:r>
      <w:r w:rsidR="00BD64B5" w:rsidRPr="009A51FC">
        <w:rPr>
          <w:rFonts w:ascii="Times New Roman" w:hAnsi="Times New Roman"/>
          <w:sz w:val="24"/>
          <w:szCs w:val="24"/>
        </w:rPr>
        <w:t xml:space="preserve">și  </w:t>
      </w:r>
      <w:r w:rsidR="00BD64B5" w:rsidRPr="009A51FC">
        <w:rPr>
          <w:rFonts w:ascii="Times New Roman" w:hAnsi="Times New Roman"/>
          <w:i/>
          <w:sz w:val="24"/>
          <w:szCs w:val="24"/>
        </w:rPr>
        <w:t>”autoritățile contractante participante desfăsoară pe piata liberă mai puțin de</w:t>
      </w:r>
      <w:r w:rsidR="00BD64B5" w:rsidRPr="009A51FC">
        <w:rPr>
          <w:rFonts w:ascii="Times New Roman" w:hAnsi="Times New Roman"/>
          <w:i/>
          <w:sz w:val="24"/>
          <w:szCs w:val="24"/>
          <w:u w:val="single"/>
        </w:rPr>
        <w:t xml:space="preserve"> 20% din activitățile vizate de cooperare</w:t>
      </w:r>
      <w:r w:rsidR="00BD64B5" w:rsidRPr="009A51FC">
        <w:rPr>
          <w:rFonts w:ascii="Times New Roman" w:hAnsi="Times New Roman"/>
          <w:i/>
          <w:sz w:val="24"/>
          <w:szCs w:val="24"/>
        </w:rPr>
        <w:t>”).</w:t>
      </w:r>
    </w:p>
    <w:p w:rsidR="006024DA" w:rsidRPr="009A51FC" w:rsidRDefault="0078526B" w:rsidP="00F71034">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Nu în ultimul rând, r</w:t>
      </w:r>
      <w:r w:rsidR="00F71034" w:rsidRPr="009A51FC">
        <w:rPr>
          <w:rFonts w:ascii="Times New Roman" w:hAnsi="Times New Roman"/>
          <w:sz w:val="24"/>
          <w:szCs w:val="24"/>
        </w:rPr>
        <w:t xml:space="preserve">eferitor la respectarea principiilor nediscriminării şi transparenţei procesului de achiziţie publică, Patronatul Serviciilor Private din România atrage atenţia că </w:t>
      </w:r>
      <w:r>
        <w:rPr>
          <w:rFonts w:ascii="Times New Roman" w:hAnsi="Times New Roman"/>
          <w:sz w:val="24"/>
          <w:szCs w:val="24"/>
        </w:rPr>
        <w:t>Legea privind achizițiile publice conține</w:t>
      </w:r>
      <w:r w:rsidR="00F71034" w:rsidRPr="009A51FC">
        <w:rPr>
          <w:rFonts w:ascii="Times New Roman" w:hAnsi="Times New Roman"/>
          <w:sz w:val="24"/>
          <w:szCs w:val="24"/>
        </w:rPr>
        <w:t xml:space="preserve"> prevederi neclare</w:t>
      </w:r>
      <w:r>
        <w:rPr>
          <w:rFonts w:ascii="Times New Roman" w:hAnsi="Times New Roman"/>
          <w:sz w:val="24"/>
          <w:szCs w:val="24"/>
        </w:rPr>
        <w:t xml:space="preserve">, </w:t>
      </w:r>
      <w:r w:rsidR="00F71034" w:rsidRPr="009A51FC">
        <w:rPr>
          <w:rFonts w:ascii="Times New Roman" w:hAnsi="Times New Roman"/>
          <w:sz w:val="24"/>
          <w:szCs w:val="24"/>
        </w:rPr>
        <w:t xml:space="preserve">care menţin </w:t>
      </w:r>
      <w:r>
        <w:rPr>
          <w:rFonts w:ascii="Times New Roman" w:hAnsi="Times New Roman"/>
          <w:sz w:val="24"/>
          <w:szCs w:val="24"/>
        </w:rPr>
        <w:t xml:space="preserve">ridicat </w:t>
      </w:r>
      <w:r w:rsidR="00F71034" w:rsidRPr="009A51FC">
        <w:rPr>
          <w:rFonts w:ascii="Times New Roman" w:hAnsi="Times New Roman"/>
          <w:sz w:val="24"/>
          <w:szCs w:val="24"/>
        </w:rPr>
        <w:t xml:space="preserve">riscul încălcării </w:t>
      </w:r>
      <w:r>
        <w:rPr>
          <w:rFonts w:ascii="Times New Roman" w:hAnsi="Times New Roman"/>
          <w:sz w:val="24"/>
          <w:szCs w:val="24"/>
        </w:rPr>
        <w:t>principiilor</w:t>
      </w:r>
      <w:r w:rsidR="00F71034" w:rsidRPr="009A51FC">
        <w:rPr>
          <w:rFonts w:ascii="Times New Roman" w:hAnsi="Times New Roman"/>
          <w:sz w:val="24"/>
          <w:szCs w:val="24"/>
        </w:rPr>
        <w:t xml:space="preserve"> </w:t>
      </w:r>
      <w:r w:rsidRPr="009A51FC">
        <w:rPr>
          <w:rFonts w:ascii="Times New Roman" w:hAnsi="Times New Roman"/>
          <w:sz w:val="24"/>
          <w:szCs w:val="24"/>
        </w:rPr>
        <w:t>menționate la Art. 2 alin. (2)</w:t>
      </w:r>
      <w:r>
        <w:rPr>
          <w:rFonts w:ascii="Times New Roman" w:hAnsi="Times New Roman"/>
          <w:sz w:val="24"/>
          <w:szCs w:val="24"/>
        </w:rPr>
        <w:t xml:space="preserve"> </w:t>
      </w:r>
      <w:r w:rsidR="00F71034" w:rsidRPr="009A51FC">
        <w:rPr>
          <w:rFonts w:ascii="Times New Roman" w:hAnsi="Times New Roman"/>
          <w:sz w:val="24"/>
          <w:szCs w:val="24"/>
        </w:rPr>
        <w:t xml:space="preserve">de </w:t>
      </w:r>
      <w:r>
        <w:rPr>
          <w:rFonts w:ascii="Times New Roman" w:hAnsi="Times New Roman"/>
          <w:sz w:val="24"/>
          <w:szCs w:val="24"/>
        </w:rPr>
        <w:t>către autorităţile contractante. Între aceste prevederi, menționăm</w:t>
      </w:r>
      <w:r w:rsidR="00F71034" w:rsidRPr="009A51FC">
        <w:rPr>
          <w:rFonts w:ascii="Times New Roman" w:hAnsi="Times New Roman"/>
          <w:sz w:val="24"/>
          <w:szCs w:val="24"/>
        </w:rPr>
        <w:t>:</w:t>
      </w:r>
    </w:p>
    <w:p w:rsidR="00F71034" w:rsidRPr="009A51FC" w:rsidRDefault="00BD64B5" w:rsidP="00BD64B5">
      <w:pPr>
        <w:numPr>
          <w:ilvl w:val="1"/>
          <w:numId w:val="9"/>
        </w:numPr>
        <w:spacing w:after="0" w:line="360" w:lineRule="auto"/>
        <w:jc w:val="both"/>
        <w:rPr>
          <w:rFonts w:ascii="Times New Roman" w:hAnsi="Times New Roman"/>
          <w:sz w:val="24"/>
          <w:szCs w:val="24"/>
        </w:rPr>
      </w:pPr>
      <w:r w:rsidRPr="009A51FC">
        <w:rPr>
          <w:rFonts w:ascii="Times New Roman" w:hAnsi="Times New Roman"/>
          <w:sz w:val="24"/>
          <w:szCs w:val="24"/>
        </w:rPr>
        <w:t>Art. 29 include o serie de excluderi pentru contractele de servicii, care pot fi interpretate ca fiind discriminatorii. Spre exemplu, la Art. 29 alin. (3) sunt precizate o serie de servicii juridice pentru care legea privind achizițiile publice nu se aplică, cu toate că pragul valoric reglementat pentru acest tip de servicii este unul ridicat</w:t>
      </w:r>
      <w:r w:rsidR="0078526B">
        <w:rPr>
          <w:rFonts w:ascii="Times New Roman" w:hAnsi="Times New Roman"/>
          <w:sz w:val="24"/>
          <w:szCs w:val="24"/>
        </w:rPr>
        <w:t xml:space="preserve"> </w:t>
      </w:r>
      <w:r w:rsidR="0078526B" w:rsidRPr="009A51FC">
        <w:rPr>
          <w:rFonts w:ascii="Times New Roman" w:hAnsi="Times New Roman"/>
          <w:sz w:val="24"/>
          <w:szCs w:val="24"/>
        </w:rPr>
        <w:t>(134.000 euro)</w:t>
      </w:r>
      <w:r w:rsidRPr="009A51FC">
        <w:rPr>
          <w:rFonts w:ascii="Times New Roman" w:hAnsi="Times New Roman"/>
          <w:sz w:val="24"/>
          <w:szCs w:val="24"/>
        </w:rPr>
        <w:t xml:space="preserve">, prin raportare la bugetul </w:t>
      </w:r>
      <w:r w:rsidR="0078526B">
        <w:rPr>
          <w:rFonts w:ascii="Times New Roman" w:hAnsi="Times New Roman"/>
          <w:sz w:val="24"/>
          <w:szCs w:val="24"/>
        </w:rPr>
        <w:t>oricărei</w:t>
      </w:r>
      <w:r w:rsidRPr="009A51FC">
        <w:rPr>
          <w:rFonts w:ascii="Times New Roman" w:hAnsi="Times New Roman"/>
          <w:sz w:val="24"/>
          <w:szCs w:val="24"/>
        </w:rPr>
        <w:t xml:space="preserve"> instituții publice. De altfel, contractarea de servicii juridice fără o procedură de achiziție transparentă a reprezentat și în trecut o problemă a sistemului </w:t>
      </w:r>
      <w:r w:rsidR="0078526B">
        <w:rPr>
          <w:rFonts w:ascii="Times New Roman" w:hAnsi="Times New Roman"/>
          <w:sz w:val="24"/>
          <w:szCs w:val="24"/>
        </w:rPr>
        <w:t>public de achiziţii</w:t>
      </w:r>
      <w:r w:rsidRPr="009A51FC">
        <w:rPr>
          <w:rFonts w:ascii="Times New Roman" w:hAnsi="Times New Roman"/>
          <w:sz w:val="24"/>
          <w:szCs w:val="24"/>
        </w:rPr>
        <w:t xml:space="preserve">, pe care apreciem că noua </w:t>
      </w:r>
      <w:r w:rsidR="0078526B">
        <w:rPr>
          <w:rFonts w:ascii="Times New Roman" w:hAnsi="Times New Roman"/>
          <w:sz w:val="24"/>
          <w:szCs w:val="24"/>
        </w:rPr>
        <w:t xml:space="preserve">Lege a achiziţiilor publice ar </w:t>
      </w:r>
      <w:r w:rsidRPr="009A51FC">
        <w:rPr>
          <w:rFonts w:ascii="Times New Roman" w:hAnsi="Times New Roman"/>
          <w:sz w:val="24"/>
          <w:szCs w:val="24"/>
        </w:rPr>
        <w:t>trebui să o corecteze, în sensul asigurării unui cadru legal nediscriminatoriu pentru toți furnizorii de servicii private.</w:t>
      </w:r>
    </w:p>
    <w:p w:rsidR="00BD64B5" w:rsidRPr="009A51FC" w:rsidRDefault="00BD64B5" w:rsidP="00AC1BE8">
      <w:pPr>
        <w:numPr>
          <w:ilvl w:val="1"/>
          <w:numId w:val="9"/>
        </w:numPr>
        <w:spacing w:after="0" w:line="360" w:lineRule="auto"/>
        <w:jc w:val="both"/>
        <w:rPr>
          <w:rFonts w:ascii="Times New Roman" w:hAnsi="Times New Roman"/>
          <w:sz w:val="24"/>
          <w:szCs w:val="24"/>
        </w:rPr>
      </w:pPr>
      <w:r w:rsidRPr="009A51FC">
        <w:rPr>
          <w:rFonts w:ascii="Times New Roman" w:hAnsi="Times New Roman"/>
          <w:sz w:val="24"/>
          <w:szCs w:val="24"/>
        </w:rPr>
        <w:t xml:space="preserve">Patronatul Serviciilor Private din România solicită eliminarea Art. 55, care nu numai că încalcă principiul transparenţei, dar de asemenea creează un risc major de viciere a achiziţiilor publice. Conform Art. 55, </w:t>
      </w:r>
      <w:r w:rsidRPr="009A51FC">
        <w:rPr>
          <w:rFonts w:ascii="Times New Roman" w:hAnsi="Times New Roman"/>
          <w:i/>
          <w:sz w:val="24"/>
          <w:szCs w:val="24"/>
        </w:rPr>
        <w:t xml:space="preserve">”obligaţiile prevăzute la Art. 54 alin. (1) nu se aplică în cazul subcontractanților care realizează în cadrul contractului de achizitie publică/acordului-cadru activităti a căror </w:t>
      </w:r>
      <w:r w:rsidRPr="009A51FC">
        <w:rPr>
          <w:rFonts w:ascii="Times New Roman" w:hAnsi="Times New Roman"/>
          <w:i/>
          <w:sz w:val="24"/>
          <w:szCs w:val="24"/>
          <w:u w:val="single"/>
        </w:rPr>
        <w:t>valoare este mai mică de 5% din valoarea ofertată a contractului</w:t>
      </w:r>
      <w:r w:rsidRPr="009A51FC">
        <w:rPr>
          <w:rFonts w:ascii="Times New Roman" w:hAnsi="Times New Roman"/>
          <w:i/>
          <w:sz w:val="24"/>
          <w:szCs w:val="24"/>
        </w:rPr>
        <w:t>, cu condiţia ca această posibilitate să fie menționată</w:t>
      </w:r>
      <w:r w:rsidR="00C626DF">
        <w:rPr>
          <w:rFonts w:ascii="Times New Roman" w:hAnsi="Times New Roman"/>
          <w:i/>
          <w:sz w:val="24"/>
          <w:szCs w:val="24"/>
        </w:rPr>
        <w:t xml:space="preserve"> explicit în documentele achiziţ</w:t>
      </w:r>
      <w:r w:rsidRPr="009A51FC">
        <w:rPr>
          <w:rFonts w:ascii="Times New Roman" w:hAnsi="Times New Roman"/>
          <w:i/>
          <w:sz w:val="24"/>
          <w:szCs w:val="24"/>
        </w:rPr>
        <w:t>iei”</w:t>
      </w:r>
      <w:r w:rsidRPr="009A51FC">
        <w:rPr>
          <w:rFonts w:ascii="Times New Roman" w:hAnsi="Times New Roman"/>
          <w:sz w:val="24"/>
          <w:szCs w:val="24"/>
        </w:rPr>
        <w:t>. Considerăm că</w:t>
      </w:r>
      <w:r w:rsidR="00C626DF">
        <w:rPr>
          <w:rFonts w:ascii="Times New Roman" w:hAnsi="Times New Roman"/>
          <w:sz w:val="24"/>
          <w:szCs w:val="24"/>
        </w:rPr>
        <w:t>, în forma actuală, Art. 55 af</w:t>
      </w:r>
      <w:r w:rsidRPr="009A51FC">
        <w:rPr>
          <w:rFonts w:ascii="Times New Roman" w:hAnsi="Times New Roman"/>
          <w:sz w:val="24"/>
          <w:szCs w:val="24"/>
        </w:rPr>
        <w:t xml:space="preserve">ectează în mod direct transparența procesului de achiziție, lăsând libertate ofertanților de a nu nominaliza anumiți subcontractanți, cu toate că aceștia pot beneficia de bugete importante (spre exemplu, 5% din pragul valoric al achizițiilor de lucrări înseamnă 259.300 euro). Mai mult decât atât, prin Art. 55  alin. (2) se lasă libertate autorității contractante de a aplica selectiv Art 55 alin. (1), apreciind dacă </w:t>
      </w:r>
      <w:r w:rsidRPr="009A51FC">
        <w:rPr>
          <w:rFonts w:ascii="Times New Roman" w:hAnsi="Times New Roman"/>
          <w:i/>
          <w:sz w:val="24"/>
          <w:szCs w:val="24"/>
        </w:rPr>
        <w:t xml:space="preserve">”activitățile realizate de subcontractanți </w:t>
      </w:r>
      <w:r w:rsidRPr="009A51FC">
        <w:rPr>
          <w:rFonts w:ascii="Times New Roman" w:hAnsi="Times New Roman"/>
          <w:i/>
          <w:sz w:val="24"/>
          <w:szCs w:val="24"/>
          <w:u w:val="single"/>
        </w:rPr>
        <w:t>sunt esențiale prin raportare la obiectul contractului</w:t>
      </w:r>
      <w:r w:rsidRPr="009A51FC">
        <w:rPr>
          <w:rFonts w:ascii="Times New Roman" w:hAnsi="Times New Roman"/>
          <w:i/>
          <w:sz w:val="24"/>
          <w:szCs w:val="24"/>
        </w:rPr>
        <w:t>”</w:t>
      </w:r>
      <w:r w:rsidRPr="009A51FC">
        <w:rPr>
          <w:rFonts w:ascii="Times New Roman" w:hAnsi="Times New Roman"/>
          <w:sz w:val="24"/>
          <w:szCs w:val="24"/>
        </w:rPr>
        <w:t xml:space="preserve">. În concluzie, considerăm că singura formă care poate </w:t>
      </w:r>
      <w:r w:rsidR="00AC1BE8" w:rsidRPr="009A51FC">
        <w:rPr>
          <w:rFonts w:ascii="Times New Roman" w:hAnsi="Times New Roman"/>
          <w:sz w:val="24"/>
          <w:szCs w:val="24"/>
        </w:rPr>
        <w:t xml:space="preserve">preveni situaţiile de corupţie şi asigurarea unei transparenţe depline </w:t>
      </w:r>
      <w:r w:rsidR="00736406">
        <w:rPr>
          <w:rFonts w:ascii="Times New Roman" w:hAnsi="Times New Roman"/>
          <w:sz w:val="24"/>
          <w:szCs w:val="24"/>
        </w:rPr>
        <w:t>în derularea achiziţiilor publice</w:t>
      </w:r>
      <w:r w:rsidR="00AC1BE8" w:rsidRPr="009A51FC">
        <w:rPr>
          <w:rFonts w:ascii="Times New Roman" w:hAnsi="Times New Roman"/>
          <w:sz w:val="24"/>
          <w:szCs w:val="24"/>
        </w:rPr>
        <w:t xml:space="preserve">, este </w:t>
      </w:r>
      <w:r w:rsidRPr="009A51FC">
        <w:rPr>
          <w:rFonts w:ascii="Times New Roman" w:hAnsi="Times New Roman"/>
          <w:sz w:val="24"/>
          <w:szCs w:val="24"/>
        </w:rPr>
        <w:t>nominalizarea tuturor subcontract</w:t>
      </w:r>
      <w:r w:rsidR="00736406">
        <w:rPr>
          <w:rFonts w:ascii="Times New Roman" w:hAnsi="Times New Roman"/>
          <w:sz w:val="24"/>
          <w:szCs w:val="24"/>
        </w:rPr>
        <w:t>anţilor</w:t>
      </w:r>
      <w:r w:rsidRPr="009A51FC">
        <w:rPr>
          <w:rFonts w:ascii="Times New Roman" w:hAnsi="Times New Roman"/>
          <w:sz w:val="24"/>
          <w:szCs w:val="24"/>
        </w:rPr>
        <w:t>, indiferent de valoarea activităților realizate de aceștia în cadrul contractului.</w:t>
      </w:r>
    </w:p>
    <w:p w:rsidR="00AC1BE8" w:rsidRPr="009A51FC" w:rsidRDefault="00AC1BE8" w:rsidP="00AC1BE8">
      <w:pPr>
        <w:numPr>
          <w:ilvl w:val="1"/>
          <w:numId w:val="9"/>
        </w:numPr>
        <w:spacing w:after="0" w:line="360" w:lineRule="auto"/>
        <w:ind w:left="720"/>
        <w:jc w:val="both"/>
        <w:rPr>
          <w:rFonts w:ascii="Times New Roman" w:hAnsi="Times New Roman"/>
          <w:sz w:val="24"/>
          <w:szCs w:val="24"/>
        </w:rPr>
      </w:pPr>
      <w:r w:rsidRPr="009A51FC">
        <w:rPr>
          <w:rFonts w:ascii="Times New Roman" w:hAnsi="Times New Roman"/>
          <w:sz w:val="24"/>
          <w:szCs w:val="24"/>
        </w:rPr>
        <w:t xml:space="preserve">Referitor la Art. 106, observăm că </w:t>
      </w:r>
      <w:r w:rsidRPr="009A51FC">
        <w:rPr>
          <w:rFonts w:ascii="Times New Roman" w:hAnsi="Times New Roman"/>
          <w:bCs/>
          <w:sz w:val="24"/>
          <w:szCs w:val="24"/>
        </w:rPr>
        <w:t>Alineatul 3</w:t>
      </w:r>
      <w:r w:rsidRPr="009A51FC">
        <w:rPr>
          <w:rFonts w:ascii="Times New Roman" w:hAnsi="Times New Roman"/>
          <w:b/>
          <w:bCs/>
          <w:sz w:val="24"/>
          <w:szCs w:val="24"/>
        </w:rPr>
        <w:t xml:space="preserve"> </w:t>
      </w:r>
      <w:r w:rsidRPr="009A51FC">
        <w:rPr>
          <w:rFonts w:ascii="Times New Roman" w:hAnsi="Times New Roman"/>
          <w:bCs/>
          <w:i/>
          <w:sz w:val="24"/>
          <w:szCs w:val="24"/>
        </w:rPr>
        <w:t>(</w:t>
      </w:r>
      <w:r w:rsidRPr="009A51FC">
        <w:rPr>
          <w:rFonts w:ascii="Times New Roman" w:hAnsi="Times New Roman"/>
          <w:sz w:val="24"/>
          <w:szCs w:val="24"/>
        </w:rPr>
        <w:t>"</w:t>
      </w:r>
      <w:r w:rsidRPr="009A51FC">
        <w:rPr>
          <w:rFonts w:ascii="Times New Roman" w:hAnsi="Times New Roman"/>
          <w:i/>
          <w:sz w:val="24"/>
          <w:szCs w:val="24"/>
        </w:rPr>
        <w:t xml:space="preserve">Autoritatea contractantă care a organizat un concurs de soluții </w:t>
      </w:r>
      <w:r w:rsidRPr="0010783C">
        <w:rPr>
          <w:rFonts w:ascii="Times New Roman" w:hAnsi="Times New Roman"/>
          <w:i/>
          <w:sz w:val="24"/>
          <w:szCs w:val="24"/>
          <w:u w:val="single"/>
        </w:rPr>
        <w:t>transmite spre publicare un</w:t>
      </w:r>
      <w:r w:rsidRPr="0010783C">
        <w:rPr>
          <w:rFonts w:ascii="Times New Roman" w:hAnsi="Times New Roman"/>
          <w:b/>
          <w:bCs/>
          <w:i/>
          <w:sz w:val="24"/>
          <w:szCs w:val="24"/>
          <w:u w:val="single"/>
        </w:rPr>
        <w:t xml:space="preserve"> </w:t>
      </w:r>
      <w:r w:rsidRPr="0010783C">
        <w:rPr>
          <w:rFonts w:ascii="Times New Roman" w:hAnsi="Times New Roman"/>
          <w:i/>
          <w:sz w:val="24"/>
          <w:szCs w:val="24"/>
          <w:u w:val="single"/>
        </w:rPr>
        <w:t>anunț</w:t>
      </w:r>
      <w:r w:rsidRPr="009A51FC">
        <w:rPr>
          <w:rFonts w:ascii="Times New Roman" w:hAnsi="Times New Roman"/>
          <w:i/>
          <w:sz w:val="24"/>
          <w:szCs w:val="24"/>
        </w:rPr>
        <w:t xml:space="preserve"> cu privire la rezultatele concursului si trebuie să fie în măsură să facă dovada datei</w:t>
      </w:r>
      <w:r w:rsidRPr="009A51FC">
        <w:rPr>
          <w:rFonts w:ascii="Times New Roman" w:hAnsi="Times New Roman"/>
          <w:b/>
          <w:bCs/>
          <w:i/>
          <w:sz w:val="24"/>
          <w:szCs w:val="24"/>
        </w:rPr>
        <w:t xml:space="preserve"> </w:t>
      </w:r>
      <w:r w:rsidRPr="009A51FC">
        <w:rPr>
          <w:rFonts w:ascii="Times New Roman" w:hAnsi="Times New Roman"/>
          <w:i/>
          <w:sz w:val="24"/>
          <w:szCs w:val="24"/>
        </w:rPr>
        <w:t>transmiterii anunțului")</w:t>
      </w:r>
      <w:r w:rsidRPr="009A51FC">
        <w:rPr>
          <w:rFonts w:ascii="Times New Roman" w:hAnsi="Times New Roman"/>
          <w:sz w:val="24"/>
          <w:szCs w:val="24"/>
        </w:rPr>
        <w:t xml:space="preserve">, </w:t>
      </w:r>
      <w:r w:rsidRPr="009277DF">
        <w:rPr>
          <w:rFonts w:ascii="Times New Roman" w:hAnsi="Times New Roman"/>
          <w:sz w:val="24"/>
          <w:szCs w:val="24"/>
        </w:rPr>
        <w:t>este contrazis de</w:t>
      </w:r>
      <w:r w:rsidRPr="009A51FC">
        <w:rPr>
          <w:rFonts w:ascii="Times New Roman" w:hAnsi="Times New Roman"/>
          <w:sz w:val="24"/>
          <w:szCs w:val="24"/>
        </w:rPr>
        <w:t xml:space="preserve"> Alineatul 4</w:t>
      </w:r>
      <w:r w:rsidRPr="009A51FC">
        <w:rPr>
          <w:rFonts w:ascii="Times New Roman" w:hAnsi="Times New Roman"/>
          <w:i/>
          <w:sz w:val="24"/>
          <w:szCs w:val="24"/>
        </w:rPr>
        <w:t xml:space="preserve"> (”Prin</w:t>
      </w:r>
      <w:r w:rsidRPr="009A51FC">
        <w:rPr>
          <w:rFonts w:ascii="Times New Roman" w:hAnsi="Times New Roman"/>
          <w:i/>
          <w:sz w:val="24"/>
          <w:szCs w:val="24"/>
          <w:u w:val="single"/>
        </w:rPr>
        <w:t xml:space="preserve"> derogare</w:t>
      </w:r>
      <w:r w:rsidRPr="009A51FC">
        <w:rPr>
          <w:rFonts w:ascii="Times New Roman" w:hAnsi="Times New Roman"/>
          <w:i/>
          <w:sz w:val="24"/>
          <w:szCs w:val="24"/>
        </w:rPr>
        <w:t xml:space="preserve"> de la prevederile alin. (3), în cazul în care comunicarea informațiilor privind rezultatul concursului ar împiedica aplicarea unor dispoziții legale, ar fi contrară interesului public, ar aduce atingere intereselor comerciale legitime ale unei întreprinderi publice sau private sau ar putea aduce atingere concurenței loiale între prestatorii de servicii, </w:t>
      </w:r>
      <w:r w:rsidRPr="009A51FC">
        <w:rPr>
          <w:rFonts w:ascii="Times New Roman" w:hAnsi="Times New Roman"/>
          <w:i/>
          <w:sz w:val="24"/>
          <w:szCs w:val="24"/>
          <w:u w:val="single"/>
        </w:rPr>
        <w:t>publicarea acestor informații nu este obligatorie</w:t>
      </w:r>
      <w:r w:rsidRPr="009A51FC">
        <w:rPr>
          <w:rFonts w:ascii="Times New Roman" w:hAnsi="Times New Roman"/>
          <w:i/>
          <w:sz w:val="24"/>
          <w:szCs w:val="24"/>
        </w:rPr>
        <w:t>")</w:t>
      </w:r>
      <w:r w:rsidRPr="009A51FC">
        <w:rPr>
          <w:rFonts w:ascii="Times New Roman" w:hAnsi="Times New Roman"/>
          <w:sz w:val="24"/>
          <w:szCs w:val="24"/>
        </w:rPr>
        <w:t>. Patronatul Serviciilor Private din România consideră că includerea unor excepții de la prevederi</w:t>
      </w:r>
      <w:r w:rsidR="00C626DF">
        <w:rPr>
          <w:rFonts w:ascii="Times New Roman" w:hAnsi="Times New Roman"/>
          <w:sz w:val="24"/>
          <w:szCs w:val="24"/>
        </w:rPr>
        <w:t>le Art. 106 alin. (3)</w:t>
      </w:r>
      <w:r w:rsidRPr="009A51FC">
        <w:rPr>
          <w:rFonts w:ascii="Times New Roman" w:hAnsi="Times New Roman"/>
          <w:sz w:val="24"/>
          <w:szCs w:val="24"/>
        </w:rPr>
        <w:t xml:space="preserve"> </w:t>
      </w:r>
      <w:r w:rsidR="0010783C">
        <w:rPr>
          <w:rFonts w:ascii="Times New Roman" w:hAnsi="Times New Roman"/>
          <w:sz w:val="24"/>
          <w:szCs w:val="24"/>
        </w:rPr>
        <w:t>reprezintă o încălcare a principiului transparenţei</w:t>
      </w:r>
      <w:r w:rsidRPr="009A51FC">
        <w:rPr>
          <w:rFonts w:ascii="Times New Roman" w:hAnsi="Times New Roman"/>
          <w:sz w:val="24"/>
          <w:szCs w:val="24"/>
        </w:rPr>
        <w:t>.</w:t>
      </w:r>
      <w:r w:rsidR="0010783C">
        <w:rPr>
          <w:rFonts w:ascii="Times New Roman" w:hAnsi="Times New Roman"/>
          <w:sz w:val="24"/>
          <w:szCs w:val="24"/>
        </w:rPr>
        <w:t xml:space="preserve"> Totodată</w:t>
      </w:r>
      <w:r w:rsidRPr="009A51FC">
        <w:rPr>
          <w:rFonts w:ascii="Times New Roman" w:hAnsi="Times New Roman"/>
          <w:sz w:val="24"/>
          <w:szCs w:val="24"/>
        </w:rPr>
        <w:t xml:space="preserve">, </w:t>
      </w:r>
      <w:r w:rsidR="008723AC">
        <w:rPr>
          <w:rFonts w:ascii="Times New Roman" w:hAnsi="Times New Roman"/>
          <w:sz w:val="24"/>
          <w:szCs w:val="24"/>
        </w:rPr>
        <w:t>apreciem</w:t>
      </w:r>
      <w:r w:rsidR="0010783C">
        <w:rPr>
          <w:rFonts w:ascii="Times New Roman" w:hAnsi="Times New Roman"/>
          <w:sz w:val="24"/>
          <w:szCs w:val="24"/>
        </w:rPr>
        <w:t xml:space="preserve"> că </w:t>
      </w:r>
      <w:r w:rsidRPr="009A51FC">
        <w:rPr>
          <w:rFonts w:ascii="Times New Roman" w:hAnsi="Times New Roman"/>
          <w:sz w:val="24"/>
          <w:szCs w:val="24"/>
        </w:rPr>
        <w:t>este exagerat</w:t>
      </w:r>
      <w:r w:rsidR="00C626DF">
        <w:rPr>
          <w:rFonts w:ascii="Times New Roman" w:hAnsi="Times New Roman"/>
          <w:sz w:val="24"/>
          <w:szCs w:val="24"/>
        </w:rPr>
        <w:t>ă afirmaţia potrivit căreia</w:t>
      </w:r>
      <w:r w:rsidRPr="009A51FC">
        <w:rPr>
          <w:rFonts w:ascii="Times New Roman" w:hAnsi="Times New Roman"/>
          <w:sz w:val="24"/>
          <w:szCs w:val="24"/>
        </w:rPr>
        <w:t xml:space="preserve"> </w:t>
      </w:r>
      <w:r w:rsidR="00C626DF">
        <w:rPr>
          <w:rFonts w:ascii="Times New Roman" w:hAnsi="Times New Roman"/>
          <w:sz w:val="24"/>
          <w:szCs w:val="24"/>
        </w:rPr>
        <w:t xml:space="preserve"> </w:t>
      </w:r>
      <w:r w:rsidRPr="009A51FC">
        <w:rPr>
          <w:rFonts w:ascii="Times New Roman" w:hAnsi="Times New Roman"/>
          <w:sz w:val="24"/>
          <w:szCs w:val="24"/>
        </w:rPr>
        <w:t xml:space="preserve"> publicarea unui anunț de atribuire poate fi de natură să aducă atingere concurenței loiale</w:t>
      </w:r>
      <w:r w:rsidR="0010783C">
        <w:rPr>
          <w:rFonts w:ascii="Times New Roman" w:hAnsi="Times New Roman"/>
          <w:sz w:val="24"/>
          <w:szCs w:val="24"/>
        </w:rPr>
        <w:t xml:space="preserve">, </w:t>
      </w:r>
      <w:r w:rsidR="008723AC">
        <w:rPr>
          <w:rFonts w:ascii="Times New Roman" w:hAnsi="Times New Roman"/>
          <w:sz w:val="24"/>
          <w:szCs w:val="24"/>
        </w:rPr>
        <w:t>fiind opţiunea fiecărui operator economic de a decide participarea sa la proceduri de achiziţie publică şi implicit de a se supune unor principii generale de transparenţă pe parcursul derulării procedurii de achiziţie publică</w:t>
      </w:r>
      <w:r w:rsidRPr="009A51FC">
        <w:rPr>
          <w:rFonts w:ascii="Times New Roman" w:hAnsi="Times New Roman"/>
          <w:sz w:val="24"/>
          <w:szCs w:val="24"/>
        </w:rPr>
        <w:t>.</w:t>
      </w:r>
    </w:p>
    <w:p w:rsidR="00AC1BE8" w:rsidRPr="009A51FC" w:rsidRDefault="00AC1BE8" w:rsidP="00AC1BE8">
      <w:pPr>
        <w:numPr>
          <w:ilvl w:val="1"/>
          <w:numId w:val="9"/>
        </w:numPr>
        <w:spacing w:after="0" w:line="360" w:lineRule="auto"/>
        <w:ind w:left="720"/>
        <w:jc w:val="both"/>
        <w:rPr>
          <w:rFonts w:ascii="Times New Roman" w:hAnsi="Times New Roman"/>
          <w:sz w:val="24"/>
          <w:szCs w:val="24"/>
        </w:rPr>
      </w:pPr>
      <w:r w:rsidRPr="009A51FC">
        <w:rPr>
          <w:rFonts w:ascii="Times New Roman" w:hAnsi="Times New Roman"/>
          <w:sz w:val="24"/>
          <w:szCs w:val="24"/>
        </w:rPr>
        <w:t xml:space="preserve">Articolul 70 alin. (4) lasă </w:t>
      </w:r>
      <w:r w:rsidR="008723AC">
        <w:rPr>
          <w:rFonts w:ascii="Times New Roman" w:hAnsi="Times New Roman"/>
          <w:sz w:val="24"/>
          <w:szCs w:val="24"/>
        </w:rPr>
        <w:t>libertate</w:t>
      </w:r>
      <w:r w:rsidRPr="009A51FC">
        <w:rPr>
          <w:rFonts w:ascii="Times New Roman" w:hAnsi="Times New Roman"/>
          <w:sz w:val="24"/>
          <w:szCs w:val="24"/>
        </w:rPr>
        <w:t xml:space="preserve"> autorității contractante de </w:t>
      </w:r>
      <w:r w:rsidRPr="009A51FC">
        <w:rPr>
          <w:rFonts w:ascii="Times New Roman" w:hAnsi="Times New Roman"/>
          <w:i/>
          <w:sz w:val="24"/>
          <w:szCs w:val="24"/>
        </w:rPr>
        <w:t>”</w:t>
      </w:r>
      <w:r w:rsidRPr="009A51FC">
        <w:rPr>
          <w:rFonts w:ascii="Times New Roman" w:hAnsi="Times New Roman"/>
          <w:i/>
          <w:sz w:val="24"/>
          <w:szCs w:val="24"/>
          <w:u w:val="single"/>
        </w:rPr>
        <w:t>a nu publica un anunț de participare</w:t>
      </w:r>
      <w:r w:rsidRPr="009A51FC">
        <w:rPr>
          <w:rFonts w:ascii="Times New Roman" w:hAnsi="Times New Roman"/>
          <w:i/>
          <w:sz w:val="24"/>
          <w:szCs w:val="24"/>
        </w:rPr>
        <w:t xml:space="preserve"> dacă invită la procedura de atribuire exclusiv si toți acei ofertanți care, în cadrul procedurii anterioare de licitație deschisă sau licitație restrânsă, au îndeplinit criteriile de calificare si au depus oferte în conformitate cu cerințele formale ale procedurii de atribuire"</w:t>
      </w:r>
      <w:r w:rsidRPr="009A51FC">
        <w:rPr>
          <w:rFonts w:ascii="Times New Roman" w:hAnsi="Times New Roman"/>
          <w:sz w:val="24"/>
          <w:szCs w:val="24"/>
        </w:rPr>
        <w:t xml:space="preserve">. </w:t>
      </w:r>
      <w:r w:rsidR="008723AC">
        <w:rPr>
          <w:rFonts w:ascii="Times New Roman" w:hAnsi="Times New Roman"/>
          <w:sz w:val="24"/>
          <w:szCs w:val="24"/>
        </w:rPr>
        <w:t>Precizăm că p</w:t>
      </w:r>
      <w:r w:rsidRPr="009A51FC">
        <w:rPr>
          <w:rFonts w:ascii="Times New Roman" w:hAnsi="Times New Roman"/>
          <w:sz w:val="24"/>
          <w:szCs w:val="24"/>
        </w:rPr>
        <w:t>ublicarea unui anunț de participare este un demers care nu poate avea drept rezultat decât lărgirea bazei de selecție inițială,</w:t>
      </w:r>
      <w:r w:rsidR="008723AC">
        <w:rPr>
          <w:rFonts w:ascii="Times New Roman" w:hAnsi="Times New Roman"/>
          <w:sz w:val="24"/>
          <w:szCs w:val="24"/>
        </w:rPr>
        <w:t xml:space="preserve"> </w:t>
      </w:r>
      <w:r w:rsidR="00C626DF">
        <w:rPr>
          <w:rFonts w:ascii="Times New Roman" w:hAnsi="Times New Roman"/>
          <w:sz w:val="24"/>
          <w:szCs w:val="24"/>
        </w:rPr>
        <w:t xml:space="preserve"> precum şi un tratament nediscriminatoriu</w:t>
      </w:r>
      <w:r w:rsidR="008723AC">
        <w:rPr>
          <w:rFonts w:ascii="Times New Roman" w:hAnsi="Times New Roman"/>
          <w:sz w:val="24"/>
          <w:szCs w:val="24"/>
        </w:rPr>
        <w:t xml:space="preserve"> al operatorilor economici în toate etapele procedurii de achiziţie publică, context în care </w:t>
      </w:r>
      <w:r w:rsidRPr="009A51FC">
        <w:rPr>
          <w:rFonts w:ascii="Times New Roman" w:hAnsi="Times New Roman"/>
          <w:sz w:val="24"/>
          <w:szCs w:val="24"/>
        </w:rPr>
        <w:t>susţinem eliminarea acestui articol.</w:t>
      </w:r>
    </w:p>
    <w:p w:rsidR="009A51FC" w:rsidRPr="009A51FC" w:rsidRDefault="009A51FC" w:rsidP="00AC1BE8">
      <w:pPr>
        <w:numPr>
          <w:ilvl w:val="1"/>
          <w:numId w:val="9"/>
        </w:numPr>
        <w:spacing w:after="0" w:line="360" w:lineRule="auto"/>
        <w:ind w:left="720"/>
        <w:jc w:val="both"/>
        <w:rPr>
          <w:rFonts w:ascii="Times New Roman" w:hAnsi="Times New Roman"/>
          <w:sz w:val="24"/>
          <w:szCs w:val="24"/>
        </w:rPr>
      </w:pPr>
      <w:r w:rsidRPr="009A51FC">
        <w:rPr>
          <w:rFonts w:ascii="Times New Roman" w:hAnsi="Times New Roman"/>
          <w:bCs/>
          <w:sz w:val="24"/>
          <w:szCs w:val="24"/>
        </w:rPr>
        <w:t>Conform articolului 162</w:t>
      </w:r>
      <w:r w:rsidRPr="009A51FC">
        <w:rPr>
          <w:rFonts w:ascii="Times New Roman" w:hAnsi="Times New Roman"/>
          <w:sz w:val="24"/>
          <w:szCs w:val="24"/>
        </w:rPr>
        <w:t xml:space="preserve"> alin. </w:t>
      </w:r>
      <w:r w:rsidRPr="009A51FC">
        <w:rPr>
          <w:rFonts w:ascii="Times New Roman" w:hAnsi="Times New Roman"/>
          <w:bCs/>
          <w:sz w:val="24"/>
          <w:szCs w:val="24"/>
        </w:rPr>
        <w:t xml:space="preserve"> (4), autoritatea contractanta poate, </w:t>
      </w:r>
      <w:r w:rsidRPr="009A51FC">
        <w:rPr>
          <w:rFonts w:ascii="Times New Roman" w:hAnsi="Times New Roman"/>
          <w:bCs/>
          <w:i/>
          <w:sz w:val="24"/>
          <w:szCs w:val="24"/>
        </w:rPr>
        <w:t>”în mod excepțional”</w:t>
      </w:r>
      <w:r w:rsidRPr="009A51FC">
        <w:rPr>
          <w:rFonts w:ascii="Times New Roman" w:hAnsi="Times New Roman"/>
          <w:bCs/>
          <w:sz w:val="24"/>
          <w:szCs w:val="24"/>
        </w:rPr>
        <w:t xml:space="preserve">, prin derogare de la art. 162 </w:t>
      </w:r>
      <w:r w:rsidRPr="009A51FC">
        <w:rPr>
          <w:rFonts w:ascii="Times New Roman" w:hAnsi="Times New Roman"/>
          <w:sz w:val="24"/>
          <w:szCs w:val="24"/>
        </w:rPr>
        <w:t xml:space="preserve">alin. </w:t>
      </w:r>
      <w:r w:rsidRPr="009A51FC">
        <w:rPr>
          <w:rFonts w:ascii="Times New Roman" w:hAnsi="Times New Roman"/>
          <w:bCs/>
          <w:sz w:val="24"/>
          <w:szCs w:val="24"/>
        </w:rPr>
        <w:t>(1) si (2), să nu excludă de la procedura de atribuire un operator economic care nu indeplinește condițiile de eligibilitate,</w:t>
      </w:r>
      <w:r w:rsidR="00C626DF">
        <w:rPr>
          <w:rFonts w:ascii="Times New Roman" w:hAnsi="Times New Roman"/>
          <w:bCs/>
          <w:sz w:val="24"/>
          <w:szCs w:val="24"/>
        </w:rPr>
        <w:t xml:space="preserve"> </w:t>
      </w:r>
      <w:r w:rsidRPr="009A51FC">
        <w:rPr>
          <w:rFonts w:ascii="Times New Roman" w:hAnsi="Times New Roman"/>
          <w:bCs/>
          <w:i/>
          <w:sz w:val="24"/>
          <w:szCs w:val="24"/>
        </w:rPr>
        <w:t>”</w:t>
      </w:r>
      <w:r w:rsidRPr="009A51FC">
        <w:rPr>
          <w:rFonts w:ascii="Times New Roman" w:hAnsi="Times New Roman"/>
          <w:i/>
          <w:sz w:val="24"/>
          <w:szCs w:val="24"/>
        </w:rPr>
        <w:t>pentru motive imperative de interes general, precum sănătatea publică sau protecția mediului</w:t>
      </w:r>
      <w:r w:rsidRPr="009A51FC">
        <w:rPr>
          <w:rFonts w:ascii="Times New Roman" w:hAnsi="Times New Roman"/>
          <w:bCs/>
          <w:i/>
          <w:sz w:val="24"/>
          <w:szCs w:val="24"/>
        </w:rPr>
        <w:t>”</w:t>
      </w:r>
      <w:r w:rsidRPr="009A51FC">
        <w:rPr>
          <w:rFonts w:ascii="Times New Roman" w:hAnsi="Times New Roman"/>
          <w:bCs/>
          <w:sz w:val="24"/>
          <w:szCs w:val="24"/>
        </w:rPr>
        <w:t>.</w:t>
      </w:r>
      <w:r w:rsidRPr="009A51FC">
        <w:rPr>
          <w:rFonts w:ascii="Times New Roman" w:hAnsi="Times New Roman"/>
          <w:b/>
          <w:bCs/>
          <w:sz w:val="24"/>
          <w:szCs w:val="24"/>
        </w:rPr>
        <w:t xml:space="preserve"> </w:t>
      </w:r>
      <w:r w:rsidRPr="009A51FC">
        <w:rPr>
          <w:rFonts w:ascii="Times New Roman" w:hAnsi="Times New Roman"/>
          <w:bCs/>
          <w:sz w:val="24"/>
          <w:szCs w:val="24"/>
        </w:rPr>
        <w:t>Articolul nu aduce însă și clarificări legate de aceste motive și lasă posibilitatea prezentării la procedurile de achiziție a unor operatori economici cu datorii la bugetul de stat sau  condamnați cu hotărâri definitive, sub acoperirea unor</w:t>
      </w:r>
      <w:r w:rsidRPr="009A51FC">
        <w:rPr>
          <w:rFonts w:ascii="Times New Roman" w:hAnsi="Times New Roman"/>
          <w:bCs/>
          <w:i/>
          <w:sz w:val="24"/>
          <w:szCs w:val="24"/>
        </w:rPr>
        <w:t xml:space="preserve"> ”motive imperative de interes general”</w:t>
      </w:r>
      <w:r w:rsidRPr="009A51FC">
        <w:rPr>
          <w:rFonts w:ascii="Times New Roman" w:hAnsi="Times New Roman"/>
          <w:bCs/>
          <w:sz w:val="24"/>
          <w:szCs w:val="24"/>
        </w:rPr>
        <w:t>.</w:t>
      </w:r>
    </w:p>
    <w:p w:rsidR="00BD64B5" w:rsidRDefault="008723AC" w:rsidP="008665A7">
      <w:pPr>
        <w:spacing w:after="0" w:line="360" w:lineRule="auto"/>
        <w:ind w:firstLine="567"/>
        <w:jc w:val="both"/>
        <w:rPr>
          <w:rFonts w:ascii="Times New Roman" w:hAnsi="Times New Roman"/>
          <w:sz w:val="24"/>
          <w:szCs w:val="24"/>
        </w:rPr>
      </w:pPr>
      <w:r>
        <w:rPr>
          <w:rFonts w:ascii="Times New Roman" w:hAnsi="Times New Roman"/>
          <w:sz w:val="24"/>
          <w:szCs w:val="24"/>
        </w:rPr>
        <w:t xml:space="preserve">În final, </w:t>
      </w:r>
      <w:r w:rsidR="007B6130">
        <w:rPr>
          <w:rFonts w:ascii="Times New Roman" w:hAnsi="Times New Roman"/>
          <w:sz w:val="24"/>
          <w:szCs w:val="24"/>
        </w:rPr>
        <w:t>dorim să subliniem</w:t>
      </w:r>
      <w:r>
        <w:rPr>
          <w:rFonts w:ascii="Times New Roman" w:hAnsi="Times New Roman"/>
          <w:sz w:val="24"/>
          <w:szCs w:val="24"/>
        </w:rPr>
        <w:t xml:space="preserve"> </w:t>
      </w:r>
      <w:r w:rsidR="007B6130">
        <w:rPr>
          <w:rFonts w:ascii="Times New Roman" w:hAnsi="Times New Roman"/>
          <w:sz w:val="24"/>
          <w:szCs w:val="24"/>
        </w:rPr>
        <w:t>că modalitatea aleasă de autorităţi</w:t>
      </w:r>
      <w:r w:rsidR="008665A7">
        <w:rPr>
          <w:rFonts w:ascii="Times New Roman" w:hAnsi="Times New Roman"/>
          <w:sz w:val="24"/>
          <w:szCs w:val="24"/>
        </w:rPr>
        <w:t>le publice</w:t>
      </w:r>
      <w:r w:rsidR="007B6130">
        <w:rPr>
          <w:rFonts w:ascii="Times New Roman" w:hAnsi="Times New Roman"/>
          <w:sz w:val="24"/>
          <w:szCs w:val="24"/>
        </w:rPr>
        <w:t xml:space="preserve"> pentru a supune </w:t>
      </w:r>
      <w:r w:rsidR="008665A7">
        <w:rPr>
          <w:rFonts w:ascii="Times New Roman" w:hAnsi="Times New Roman"/>
          <w:sz w:val="24"/>
          <w:szCs w:val="24"/>
        </w:rPr>
        <w:t>consultării</w:t>
      </w:r>
      <w:r w:rsidR="007B6130">
        <w:rPr>
          <w:rFonts w:ascii="Times New Roman" w:hAnsi="Times New Roman"/>
          <w:sz w:val="24"/>
          <w:szCs w:val="24"/>
        </w:rPr>
        <w:t xml:space="preserve"> un act normativ atât de important, respectiv</w:t>
      </w:r>
      <w:r>
        <w:rPr>
          <w:rFonts w:ascii="Times New Roman" w:hAnsi="Times New Roman"/>
          <w:sz w:val="24"/>
          <w:szCs w:val="24"/>
        </w:rPr>
        <w:t xml:space="preserve"> în mijlocul perioadei de concedii şi pentru o durată de doar 10 zile</w:t>
      </w:r>
      <w:r w:rsidR="008665A7">
        <w:rPr>
          <w:rFonts w:ascii="Times New Roman" w:hAnsi="Times New Roman"/>
          <w:sz w:val="24"/>
          <w:szCs w:val="24"/>
        </w:rPr>
        <w:t xml:space="preserve"> calendaristice</w:t>
      </w:r>
      <w:r w:rsidR="007B6130">
        <w:rPr>
          <w:rFonts w:ascii="Times New Roman" w:hAnsi="Times New Roman"/>
          <w:sz w:val="24"/>
          <w:szCs w:val="24"/>
        </w:rPr>
        <w:t xml:space="preserve">, este cel puţin inoportună, fiind de natură să </w:t>
      </w:r>
      <w:r w:rsidR="008665A7">
        <w:rPr>
          <w:rFonts w:ascii="Times New Roman" w:hAnsi="Times New Roman"/>
          <w:sz w:val="24"/>
          <w:szCs w:val="24"/>
        </w:rPr>
        <w:t>limiteze posibilităţile unei dezbateri publice reale şi eficiente</w:t>
      </w:r>
      <w:r w:rsidR="00D35C1B">
        <w:rPr>
          <w:rFonts w:ascii="Times New Roman" w:hAnsi="Times New Roman"/>
          <w:sz w:val="24"/>
          <w:szCs w:val="24"/>
        </w:rPr>
        <w:t>.</w:t>
      </w:r>
      <w:r>
        <w:rPr>
          <w:rFonts w:ascii="Times New Roman" w:hAnsi="Times New Roman"/>
          <w:sz w:val="24"/>
          <w:szCs w:val="24"/>
        </w:rPr>
        <w:t xml:space="preserve"> </w:t>
      </w:r>
    </w:p>
    <w:p w:rsidR="00C357E6" w:rsidRPr="009277DF" w:rsidRDefault="00C357E6" w:rsidP="00E576BC">
      <w:pPr>
        <w:spacing w:beforeAutospacing="1" w:after="100" w:afterAutospacing="1"/>
        <w:jc w:val="center"/>
        <w:rPr>
          <w:rFonts w:ascii="Times New Roman" w:hAnsi="Times New Roman"/>
          <w:b/>
          <w:sz w:val="24"/>
          <w:szCs w:val="24"/>
        </w:rPr>
      </w:pPr>
      <w:r w:rsidRPr="009277DF">
        <w:rPr>
          <w:rFonts w:ascii="Times New Roman" w:hAnsi="Times New Roman"/>
          <w:b/>
          <w:sz w:val="24"/>
          <w:szCs w:val="24"/>
        </w:rPr>
        <w:t>Patronatul Serviciilor Private din România</w:t>
      </w:r>
    </w:p>
    <w:p w:rsidR="00C357E6" w:rsidRPr="009277DF" w:rsidRDefault="009A51FC" w:rsidP="00C357E6">
      <w:pPr>
        <w:spacing w:beforeAutospacing="1" w:after="100" w:afterAutospacing="1"/>
        <w:rPr>
          <w:rFonts w:ascii="Times New Roman" w:hAnsi="Times New Roman"/>
          <w:b/>
          <w:sz w:val="24"/>
          <w:szCs w:val="24"/>
        </w:rPr>
      </w:pPr>
      <w:r w:rsidRPr="009277DF">
        <w:rPr>
          <w:rFonts w:ascii="Times New Roman" w:hAnsi="Times New Roman"/>
          <w:b/>
          <w:sz w:val="24"/>
          <w:szCs w:val="24"/>
        </w:rPr>
        <w:t>Bucureşti, 03.08.2015</w:t>
      </w:r>
    </w:p>
    <w:sectPr w:rsidR="00C357E6" w:rsidRPr="009277DF" w:rsidSect="001705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9F" w:rsidRDefault="00BB559F" w:rsidP="00B92B4C">
      <w:pPr>
        <w:spacing w:after="0"/>
      </w:pPr>
      <w:r>
        <w:separator/>
      </w:r>
    </w:p>
  </w:endnote>
  <w:endnote w:type="continuationSeparator" w:id="0">
    <w:p w:rsidR="00BB559F" w:rsidRDefault="00BB559F" w:rsidP="00B92B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5" w:rsidRDefault="00732F31">
    <w:pPr>
      <w:pStyle w:val="Footer"/>
      <w:pBdr>
        <w:top w:val="single" w:sz="4" w:space="1" w:color="D9D9D9"/>
      </w:pBdr>
      <w:rPr>
        <w:b/>
      </w:rPr>
    </w:pPr>
    <w:r w:rsidRPr="00732F31">
      <w:rPr>
        <w:rFonts w:ascii="Bookman Old Style" w:hAnsi="Bookman Old Style"/>
        <w:sz w:val="18"/>
        <w:szCs w:val="18"/>
      </w:rPr>
      <w:fldChar w:fldCharType="begin"/>
    </w:r>
    <w:r w:rsidR="00A72F35" w:rsidRPr="00170554">
      <w:rPr>
        <w:rFonts w:ascii="Bookman Old Style" w:hAnsi="Bookman Old Style"/>
        <w:sz w:val="18"/>
        <w:szCs w:val="18"/>
      </w:rPr>
      <w:instrText xml:space="preserve"> PAGE   \* MERGEFORMAT </w:instrText>
    </w:r>
    <w:r w:rsidRPr="00732F31">
      <w:rPr>
        <w:rFonts w:ascii="Bookman Old Style" w:hAnsi="Bookman Old Style"/>
        <w:sz w:val="18"/>
        <w:szCs w:val="18"/>
      </w:rPr>
      <w:fldChar w:fldCharType="separate"/>
    </w:r>
    <w:r w:rsidR="000B1578" w:rsidRPr="000B1578">
      <w:rPr>
        <w:rFonts w:ascii="Bookman Old Style" w:hAnsi="Bookman Old Style"/>
        <w:b/>
        <w:noProof/>
        <w:sz w:val="18"/>
        <w:szCs w:val="18"/>
      </w:rPr>
      <w:t>5</w:t>
    </w:r>
    <w:r w:rsidRPr="00170554">
      <w:rPr>
        <w:rFonts w:ascii="Bookman Old Style" w:hAnsi="Bookman Old Style"/>
        <w:b/>
        <w:noProof/>
        <w:sz w:val="18"/>
        <w:szCs w:val="18"/>
      </w:rPr>
      <w:fldChar w:fldCharType="end"/>
    </w:r>
    <w:r w:rsidR="00A72F35" w:rsidRPr="00170554">
      <w:rPr>
        <w:rFonts w:ascii="Bookman Old Style" w:hAnsi="Bookman Old Style"/>
        <w:b/>
        <w:sz w:val="18"/>
        <w:szCs w:val="18"/>
      </w:rPr>
      <w:t xml:space="preserve"> </w:t>
    </w:r>
    <w:r w:rsidR="00A72F35">
      <w:rPr>
        <w:b/>
      </w:rPr>
      <w:t xml:space="preserve">| </w:t>
    </w:r>
  </w:p>
  <w:p w:rsidR="00A72F35" w:rsidRDefault="00A72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9F" w:rsidRDefault="00BB559F" w:rsidP="00B92B4C">
      <w:pPr>
        <w:spacing w:after="0"/>
      </w:pPr>
      <w:r>
        <w:separator/>
      </w:r>
    </w:p>
  </w:footnote>
  <w:footnote w:type="continuationSeparator" w:id="0">
    <w:p w:rsidR="00BB559F" w:rsidRDefault="00BB559F" w:rsidP="00B92B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996"/>
      <w:gridCol w:w="5292"/>
    </w:tblGrid>
    <w:tr w:rsidR="00A72F35" w:rsidTr="00C30E87">
      <w:tc>
        <w:tcPr>
          <w:tcW w:w="3996" w:type="dxa"/>
        </w:tcPr>
        <w:p w:rsidR="00A72F35" w:rsidRDefault="00A54B7C">
          <w:pPr>
            <w:pStyle w:val="Header"/>
          </w:pPr>
          <w:r w:rsidRPr="00C30E87">
            <w:rPr>
              <w:rFonts w:ascii="Times New Roman" w:hAnsi="Times New Roman"/>
              <w:noProof/>
              <w:snapToGrid/>
              <w:sz w:val="24"/>
              <w:szCs w:val="24"/>
              <w:lang w:val="ro-RO" w:eastAsia="ro-RO"/>
            </w:rPr>
            <w:drawing>
              <wp:inline distT="0" distB="0" distL="0" distR="0">
                <wp:extent cx="2060575" cy="108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575" cy="1086485"/>
                        </a:xfrm>
                        <a:prstGeom prst="rect">
                          <a:avLst/>
                        </a:prstGeom>
                        <a:noFill/>
                        <a:ln>
                          <a:noFill/>
                        </a:ln>
                      </pic:spPr>
                    </pic:pic>
                  </a:graphicData>
                </a:graphic>
              </wp:inline>
            </w:drawing>
          </w:r>
        </w:p>
      </w:tc>
      <w:tc>
        <w:tcPr>
          <w:tcW w:w="5292" w:type="dxa"/>
          <w:vAlign w:val="center"/>
        </w:tcPr>
        <w:p w:rsidR="00A72F35" w:rsidRPr="00170554" w:rsidRDefault="00A72F35" w:rsidP="00C30E87">
          <w:pPr>
            <w:pStyle w:val="Header"/>
            <w:jc w:val="center"/>
            <w:rPr>
              <w:rFonts w:ascii="Constantia" w:hAnsi="Constantia"/>
              <w:b/>
              <w:sz w:val="23"/>
              <w:szCs w:val="23"/>
            </w:rPr>
          </w:pPr>
          <w:r w:rsidRPr="00170554">
            <w:rPr>
              <w:rFonts w:ascii="Constantia" w:hAnsi="Constantia"/>
              <w:b/>
              <w:sz w:val="23"/>
              <w:szCs w:val="23"/>
            </w:rPr>
            <w:t>Patronatul Serviciilor Private din România</w:t>
          </w:r>
        </w:p>
        <w:p w:rsidR="00A72F35" w:rsidRPr="00170554" w:rsidRDefault="00A72F35" w:rsidP="00C30E87">
          <w:pPr>
            <w:pStyle w:val="Header"/>
            <w:jc w:val="center"/>
            <w:rPr>
              <w:rFonts w:ascii="Constantia" w:hAnsi="Constantia"/>
              <w:sz w:val="17"/>
              <w:szCs w:val="17"/>
              <w:lang w:eastAsia="ro-RO"/>
            </w:rPr>
          </w:pPr>
          <w:r w:rsidRPr="00170554">
            <w:rPr>
              <w:rFonts w:ascii="Constantia" w:hAnsi="Constantia"/>
              <w:sz w:val="17"/>
              <w:szCs w:val="17"/>
              <w:lang w:eastAsia="ro-RO"/>
            </w:rPr>
            <w:t>Nr. de la Registrul Asociaţiilor şi Fundaţiilor: 11116/A/2005</w:t>
          </w:r>
        </w:p>
        <w:p w:rsidR="00A72F35" w:rsidRPr="00170554" w:rsidRDefault="00A72F35" w:rsidP="00C30E87">
          <w:pPr>
            <w:pStyle w:val="Header"/>
            <w:jc w:val="center"/>
            <w:rPr>
              <w:rFonts w:ascii="Constantia" w:hAnsi="Constantia"/>
              <w:sz w:val="17"/>
              <w:szCs w:val="17"/>
              <w:lang w:eastAsia="ro-RO"/>
            </w:rPr>
          </w:pPr>
          <w:r w:rsidRPr="00170554">
            <w:rPr>
              <w:rFonts w:ascii="Constantia" w:hAnsi="Constantia"/>
              <w:sz w:val="17"/>
              <w:szCs w:val="17"/>
              <w:lang w:eastAsia="ro-RO"/>
            </w:rPr>
            <w:t>Adresă: Strada Delfinului, Numarul 6, Bloc 42, Scara 4, Parter, Apartament 197, Sector 2, București, România</w:t>
          </w:r>
        </w:p>
        <w:p w:rsidR="00A72F35" w:rsidRPr="00170554" w:rsidRDefault="00A72F35" w:rsidP="00170554">
          <w:pPr>
            <w:pStyle w:val="Header"/>
            <w:jc w:val="center"/>
            <w:rPr>
              <w:rFonts w:ascii="Times New Roman" w:hAnsi="Times New Roman"/>
              <w:lang w:eastAsia="ro-RO"/>
            </w:rPr>
          </w:pPr>
          <w:r w:rsidRPr="00170554">
            <w:rPr>
              <w:rFonts w:ascii="Constantia" w:hAnsi="Constantia"/>
              <w:sz w:val="17"/>
              <w:szCs w:val="17"/>
              <w:lang w:eastAsia="ro-RO"/>
            </w:rPr>
            <w:t xml:space="preserve">Telefon: 0741.106.736; </w:t>
          </w:r>
          <w:hyperlink r:id="rId2" w:history="1">
            <w:r w:rsidRPr="00170554">
              <w:rPr>
                <w:rStyle w:val="Hyperlink"/>
                <w:rFonts w:ascii="Constantia" w:hAnsi="Constantia"/>
                <w:color w:val="auto"/>
                <w:sz w:val="17"/>
                <w:szCs w:val="17"/>
                <w:u w:val="none"/>
                <w:lang w:eastAsia="ro-RO"/>
              </w:rPr>
              <w:t>www.patronatsp.ro</w:t>
            </w:r>
          </w:hyperlink>
          <w:r w:rsidRPr="00170554">
            <w:rPr>
              <w:rFonts w:ascii="Constantia" w:hAnsi="Constantia"/>
              <w:sz w:val="17"/>
              <w:szCs w:val="17"/>
              <w:lang w:eastAsia="ro-RO"/>
            </w:rPr>
            <w:t xml:space="preserve">; e-mail: </w:t>
          </w:r>
          <w:hyperlink r:id="rId3" w:history="1">
            <w:r w:rsidRPr="00170554">
              <w:rPr>
                <w:rStyle w:val="Hyperlink"/>
                <w:rFonts w:ascii="Constantia" w:hAnsi="Constantia"/>
                <w:color w:val="auto"/>
                <w:sz w:val="17"/>
                <w:szCs w:val="17"/>
                <w:u w:val="none"/>
                <w:lang w:eastAsia="ro-RO"/>
              </w:rPr>
              <w:t>office@patronatsp.ro</w:t>
            </w:r>
          </w:hyperlink>
        </w:p>
      </w:tc>
    </w:tr>
  </w:tbl>
  <w:p w:rsidR="00A72F35" w:rsidRPr="00170554" w:rsidRDefault="00A72F35">
    <w:pPr>
      <w:pStyle w:val="Header"/>
      <w:pBdr>
        <w:bottom w:val="double" w:sz="6" w:space="1" w:color="auto"/>
      </w:pBdr>
      <w:rPr>
        <w:sz w:val="2"/>
        <w:szCs w:val="2"/>
      </w:rPr>
    </w:pPr>
  </w:p>
  <w:p w:rsidR="00A72F35" w:rsidRDefault="00A72F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AEB"/>
    <w:multiLevelType w:val="hybridMultilevel"/>
    <w:tmpl w:val="0F0232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BA3F48"/>
    <w:multiLevelType w:val="hybridMultilevel"/>
    <w:tmpl w:val="B7E2C6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676D65"/>
    <w:multiLevelType w:val="hybridMultilevel"/>
    <w:tmpl w:val="DB10863E"/>
    <w:lvl w:ilvl="0" w:tplc="E010820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18B64E3"/>
    <w:multiLevelType w:val="hybridMultilevel"/>
    <w:tmpl w:val="900C9E82"/>
    <w:lvl w:ilvl="0" w:tplc="19CAA23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8BC1477"/>
    <w:multiLevelType w:val="hybridMultilevel"/>
    <w:tmpl w:val="89364108"/>
    <w:lvl w:ilvl="0" w:tplc="1B027D1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E4ADE"/>
    <w:multiLevelType w:val="hybridMultilevel"/>
    <w:tmpl w:val="0F0232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90A10E3"/>
    <w:multiLevelType w:val="hybridMultilevel"/>
    <w:tmpl w:val="2DD241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4A603E8"/>
    <w:multiLevelType w:val="hybridMultilevel"/>
    <w:tmpl w:val="A448FFFC"/>
    <w:lvl w:ilvl="0" w:tplc="5B92711C">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DC603DA"/>
    <w:multiLevelType w:val="hybridMultilevel"/>
    <w:tmpl w:val="D91A5416"/>
    <w:lvl w:ilvl="0" w:tplc="0766517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E4FD6"/>
    <w:multiLevelType w:val="hybridMultilevel"/>
    <w:tmpl w:val="1F7AD24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2"/>
  </w:num>
  <w:num w:numId="6">
    <w:abstractNumId w:val="8"/>
  </w:num>
  <w:num w:numId="7">
    <w:abstractNumId w:val="1"/>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92B4C"/>
    <w:rsid w:val="0000080B"/>
    <w:rsid w:val="00003A99"/>
    <w:rsid w:val="00022AFF"/>
    <w:rsid w:val="00027E1D"/>
    <w:rsid w:val="00032F71"/>
    <w:rsid w:val="00034C79"/>
    <w:rsid w:val="00036AF1"/>
    <w:rsid w:val="000462AD"/>
    <w:rsid w:val="00051EED"/>
    <w:rsid w:val="000539B9"/>
    <w:rsid w:val="00054630"/>
    <w:rsid w:val="00054815"/>
    <w:rsid w:val="00066CE7"/>
    <w:rsid w:val="0008749C"/>
    <w:rsid w:val="000B1578"/>
    <w:rsid w:val="000C5A78"/>
    <w:rsid w:val="000F5FF1"/>
    <w:rsid w:val="0010783C"/>
    <w:rsid w:val="00122250"/>
    <w:rsid w:val="001323F1"/>
    <w:rsid w:val="00144A66"/>
    <w:rsid w:val="00154F37"/>
    <w:rsid w:val="00165C16"/>
    <w:rsid w:val="00166544"/>
    <w:rsid w:val="00170554"/>
    <w:rsid w:val="00171349"/>
    <w:rsid w:val="00192378"/>
    <w:rsid w:val="001B1D4A"/>
    <w:rsid w:val="001B3901"/>
    <w:rsid w:val="001B49D3"/>
    <w:rsid w:val="001C3B65"/>
    <w:rsid w:val="001D0681"/>
    <w:rsid w:val="001E1FD1"/>
    <w:rsid w:val="001F0DDE"/>
    <w:rsid w:val="001F1F87"/>
    <w:rsid w:val="001F3895"/>
    <w:rsid w:val="001F4B4A"/>
    <w:rsid w:val="00200702"/>
    <w:rsid w:val="00222284"/>
    <w:rsid w:val="0022467E"/>
    <w:rsid w:val="00230D38"/>
    <w:rsid w:val="00242F68"/>
    <w:rsid w:val="002523EC"/>
    <w:rsid w:val="00262BC0"/>
    <w:rsid w:val="00274C3C"/>
    <w:rsid w:val="0027565D"/>
    <w:rsid w:val="00283EAB"/>
    <w:rsid w:val="002A7C9E"/>
    <w:rsid w:val="002B7FC4"/>
    <w:rsid w:val="002C28D4"/>
    <w:rsid w:val="002C3190"/>
    <w:rsid w:val="002C459F"/>
    <w:rsid w:val="002C7F9A"/>
    <w:rsid w:val="002D0DC8"/>
    <w:rsid w:val="002D457D"/>
    <w:rsid w:val="002D5943"/>
    <w:rsid w:val="002D64C8"/>
    <w:rsid w:val="002F1672"/>
    <w:rsid w:val="003140AF"/>
    <w:rsid w:val="00320119"/>
    <w:rsid w:val="00320F9C"/>
    <w:rsid w:val="003418A6"/>
    <w:rsid w:val="00352A2F"/>
    <w:rsid w:val="003569B2"/>
    <w:rsid w:val="00366751"/>
    <w:rsid w:val="00385E95"/>
    <w:rsid w:val="0039717C"/>
    <w:rsid w:val="003A1F99"/>
    <w:rsid w:val="003A2840"/>
    <w:rsid w:val="003B75F7"/>
    <w:rsid w:val="003C4873"/>
    <w:rsid w:val="003C4CE1"/>
    <w:rsid w:val="003C4D58"/>
    <w:rsid w:val="003E0C56"/>
    <w:rsid w:val="003E3683"/>
    <w:rsid w:val="0040319E"/>
    <w:rsid w:val="004061BC"/>
    <w:rsid w:val="00420ACB"/>
    <w:rsid w:val="00420BF9"/>
    <w:rsid w:val="0042649E"/>
    <w:rsid w:val="00446B59"/>
    <w:rsid w:val="0044700C"/>
    <w:rsid w:val="00473E1A"/>
    <w:rsid w:val="00481D7C"/>
    <w:rsid w:val="004851CF"/>
    <w:rsid w:val="004B1106"/>
    <w:rsid w:val="004B1C3F"/>
    <w:rsid w:val="004B3865"/>
    <w:rsid w:val="004C0E45"/>
    <w:rsid w:val="004D25B6"/>
    <w:rsid w:val="004F5A36"/>
    <w:rsid w:val="00500474"/>
    <w:rsid w:val="00507FB7"/>
    <w:rsid w:val="00512A43"/>
    <w:rsid w:val="0052728B"/>
    <w:rsid w:val="005273DC"/>
    <w:rsid w:val="0053504F"/>
    <w:rsid w:val="00537D88"/>
    <w:rsid w:val="0057077F"/>
    <w:rsid w:val="005729C3"/>
    <w:rsid w:val="00575B64"/>
    <w:rsid w:val="005C2F00"/>
    <w:rsid w:val="005C4519"/>
    <w:rsid w:val="005D2D35"/>
    <w:rsid w:val="005D3440"/>
    <w:rsid w:val="005E1766"/>
    <w:rsid w:val="005E32EA"/>
    <w:rsid w:val="005E4E50"/>
    <w:rsid w:val="005F260F"/>
    <w:rsid w:val="006024DA"/>
    <w:rsid w:val="006032AF"/>
    <w:rsid w:val="006158EA"/>
    <w:rsid w:val="006159C4"/>
    <w:rsid w:val="0062340F"/>
    <w:rsid w:val="00634418"/>
    <w:rsid w:val="00651FEB"/>
    <w:rsid w:val="00670325"/>
    <w:rsid w:val="00675A0F"/>
    <w:rsid w:val="00680CC5"/>
    <w:rsid w:val="00690499"/>
    <w:rsid w:val="00690C66"/>
    <w:rsid w:val="00696153"/>
    <w:rsid w:val="006A50F1"/>
    <w:rsid w:val="006B455F"/>
    <w:rsid w:val="006B4B8D"/>
    <w:rsid w:val="006B585F"/>
    <w:rsid w:val="006E0086"/>
    <w:rsid w:val="006E3FBE"/>
    <w:rsid w:val="007065B1"/>
    <w:rsid w:val="00707889"/>
    <w:rsid w:val="00712F22"/>
    <w:rsid w:val="00724A72"/>
    <w:rsid w:val="007256FE"/>
    <w:rsid w:val="007311BF"/>
    <w:rsid w:val="00732F31"/>
    <w:rsid w:val="007330AB"/>
    <w:rsid w:val="0073466D"/>
    <w:rsid w:val="00736406"/>
    <w:rsid w:val="0073705C"/>
    <w:rsid w:val="0075340D"/>
    <w:rsid w:val="00755471"/>
    <w:rsid w:val="00756E39"/>
    <w:rsid w:val="007620B4"/>
    <w:rsid w:val="00772BA0"/>
    <w:rsid w:val="0078526B"/>
    <w:rsid w:val="0078773A"/>
    <w:rsid w:val="00793A9F"/>
    <w:rsid w:val="00794913"/>
    <w:rsid w:val="007B2460"/>
    <w:rsid w:val="007B6130"/>
    <w:rsid w:val="007B6B39"/>
    <w:rsid w:val="007C3E4F"/>
    <w:rsid w:val="007C45F9"/>
    <w:rsid w:val="007D073C"/>
    <w:rsid w:val="007D62DE"/>
    <w:rsid w:val="007E2860"/>
    <w:rsid w:val="007E5AA0"/>
    <w:rsid w:val="007F1791"/>
    <w:rsid w:val="00812321"/>
    <w:rsid w:val="00815BBD"/>
    <w:rsid w:val="00831B4A"/>
    <w:rsid w:val="00851AED"/>
    <w:rsid w:val="0085299E"/>
    <w:rsid w:val="008604B6"/>
    <w:rsid w:val="008665A7"/>
    <w:rsid w:val="008723AC"/>
    <w:rsid w:val="00874DF6"/>
    <w:rsid w:val="00886663"/>
    <w:rsid w:val="0089297C"/>
    <w:rsid w:val="008A1379"/>
    <w:rsid w:val="008A21E0"/>
    <w:rsid w:val="008A2DBD"/>
    <w:rsid w:val="008A37F8"/>
    <w:rsid w:val="008A6691"/>
    <w:rsid w:val="008A6D43"/>
    <w:rsid w:val="008B0A49"/>
    <w:rsid w:val="008B155F"/>
    <w:rsid w:val="008C4359"/>
    <w:rsid w:val="008C6CF2"/>
    <w:rsid w:val="008D13DE"/>
    <w:rsid w:val="008D5AB7"/>
    <w:rsid w:val="008E210B"/>
    <w:rsid w:val="008E2CA4"/>
    <w:rsid w:val="008E3CF8"/>
    <w:rsid w:val="008E6068"/>
    <w:rsid w:val="008F176A"/>
    <w:rsid w:val="009041C7"/>
    <w:rsid w:val="00911AC6"/>
    <w:rsid w:val="00922A06"/>
    <w:rsid w:val="009254E1"/>
    <w:rsid w:val="009277DF"/>
    <w:rsid w:val="00931763"/>
    <w:rsid w:val="0094159D"/>
    <w:rsid w:val="00942140"/>
    <w:rsid w:val="009437ED"/>
    <w:rsid w:val="00955B37"/>
    <w:rsid w:val="0096105C"/>
    <w:rsid w:val="00971F32"/>
    <w:rsid w:val="009807B6"/>
    <w:rsid w:val="0098545E"/>
    <w:rsid w:val="0098676F"/>
    <w:rsid w:val="00997176"/>
    <w:rsid w:val="009A51FC"/>
    <w:rsid w:val="009B6909"/>
    <w:rsid w:val="009C0186"/>
    <w:rsid w:val="009C1893"/>
    <w:rsid w:val="009C31DB"/>
    <w:rsid w:val="009D193B"/>
    <w:rsid w:val="009F22D8"/>
    <w:rsid w:val="00A165C6"/>
    <w:rsid w:val="00A23187"/>
    <w:rsid w:val="00A4498F"/>
    <w:rsid w:val="00A4502A"/>
    <w:rsid w:val="00A54B7C"/>
    <w:rsid w:val="00A600F3"/>
    <w:rsid w:val="00A714F9"/>
    <w:rsid w:val="00A72F35"/>
    <w:rsid w:val="00A73982"/>
    <w:rsid w:val="00A770FC"/>
    <w:rsid w:val="00A81E48"/>
    <w:rsid w:val="00A83E30"/>
    <w:rsid w:val="00A849FE"/>
    <w:rsid w:val="00AA16E5"/>
    <w:rsid w:val="00AA3B41"/>
    <w:rsid w:val="00AA697B"/>
    <w:rsid w:val="00AB192D"/>
    <w:rsid w:val="00AC1BE8"/>
    <w:rsid w:val="00AC29F6"/>
    <w:rsid w:val="00AC3AF0"/>
    <w:rsid w:val="00AC5B2D"/>
    <w:rsid w:val="00AD29F9"/>
    <w:rsid w:val="00AE2358"/>
    <w:rsid w:val="00AF2EBC"/>
    <w:rsid w:val="00B00542"/>
    <w:rsid w:val="00B03643"/>
    <w:rsid w:val="00B039C8"/>
    <w:rsid w:val="00B1564E"/>
    <w:rsid w:val="00B205C4"/>
    <w:rsid w:val="00B21F09"/>
    <w:rsid w:val="00B34F83"/>
    <w:rsid w:val="00B36E59"/>
    <w:rsid w:val="00B44DE6"/>
    <w:rsid w:val="00B461F2"/>
    <w:rsid w:val="00B54055"/>
    <w:rsid w:val="00B61B5B"/>
    <w:rsid w:val="00B6702A"/>
    <w:rsid w:val="00B74F69"/>
    <w:rsid w:val="00B76A12"/>
    <w:rsid w:val="00B919DE"/>
    <w:rsid w:val="00B92B4C"/>
    <w:rsid w:val="00B962FA"/>
    <w:rsid w:val="00BA1EC1"/>
    <w:rsid w:val="00BB3131"/>
    <w:rsid w:val="00BB559F"/>
    <w:rsid w:val="00BB6492"/>
    <w:rsid w:val="00BC2FA9"/>
    <w:rsid w:val="00BC5643"/>
    <w:rsid w:val="00BD122E"/>
    <w:rsid w:val="00BD64B5"/>
    <w:rsid w:val="00BE5284"/>
    <w:rsid w:val="00BF2F70"/>
    <w:rsid w:val="00BF542C"/>
    <w:rsid w:val="00BF7727"/>
    <w:rsid w:val="00C06079"/>
    <w:rsid w:val="00C060FC"/>
    <w:rsid w:val="00C1005D"/>
    <w:rsid w:val="00C105C4"/>
    <w:rsid w:val="00C1326D"/>
    <w:rsid w:val="00C3027E"/>
    <w:rsid w:val="00C30E87"/>
    <w:rsid w:val="00C357E6"/>
    <w:rsid w:val="00C36F15"/>
    <w:rsid w:val="00C60D2E"/>
    <w:rsid w:val="00C61B31"/>
    <w:rsid w:val="00C626DF"/>
    <w:rsid w:val="00C66DC1"/>
    <w:rsid w:val="00C778D5"/>
    <w:rsid w:val="00C77A88"/>
    <w:rsid w:val="00C807E4"/>
    <w:rsid w:val="00C919E2"/>
    <w:rsid w:val="00CA182A"/>
    <w:rsid w:val="00CC154D"/>
    <w:rsid w:val="00CC2748"/>
    <w:rsid w:val="00CC300A"/>
    <w:rsid w:val="00CD3602"/>
    <w:rsid w:val="00CD3C08"/>
    <w:rsid w:val="00CE0322"/>
    <w:rsid w:val="00CE1795"/>
    <w:rsid w:val="00CE6E27"/>
    <w:rsid w:val="00CE7B11"/>
    <w:rsid w:val="00CF0BA1"/>
    <w:rsid w:val="00CF15E9"/>
    <w:rsid w:val="00CF5E86"/>
    <w:rsid w:val="00D0012A"/>
    <w:rsid w:val="00D023AE"/>
    <w:rsid w:val="00D1111B"/>
    <w:rsid w:val="00D224B0"/>
    <w:rsid w:val="00D233BD"/>
    <w:rsid w:val="00D309B2"/>
    <w:rsid w:val="00D35C1B"/>
    <w:rsid w:val="00D4221E"/>
    <w:rsid w:val="00D44A23"/>
    <w:rsid w:val="00D541F9"/>
    <w:rsid w:val="00D60B23"/>
    <w:rsid w:val="00D63C00"/>
    <w:rsid w:val="00D71B17"/>
    <w:rsid w:val="00D72AE4"/>
    <w:rsid w:val="00D76913"/>
    <w:rsid w:val="00D80F25"/>
    <w:rsid w:val="00D83805"/>
    <w:rsid w:val="00D91095"/>
    <w:rsid w:val="00D92BA8"/>
    <w:rsid w:val="00DA19B3"/>
    <w:rsid w:val="00DA226B"/>
    <w:rsid w:val="00DC6078"/>
    <w:rsid w:val="00DC62B5"/>
    <w:rsid w:val="00DD64D8"/>
    <w:rsid w:val="00DE096A"/>
    <w:rsid w:val="00DE14F3"/>
    <w:rsid w:val="00DE462E"/>
    <w:rsid w:val="00DE48BC"/>
    <w:rsid w:val="00E01A50"/>
    <w:rsid w:val="00E073B3"/>
    <w:rsid w:val="00E12561"/>
    <w:rsid w:val="00E14AB2"/>
    <w:rsid w:val="00E22FF0"/>
    <w:rsid w:val="00E25CF7"/>
    <w:rsid w:val="00E30DEA"/>
    <w:rsid w:val="00E42767"/>
    <w:rsid w:val="00E51904"/>
    <w:rsid w:val="00E53B61"/>
    <w:rsid w:val="00E576BC"/>
    <w:rsid w:val="00E62FDF"/>
    <w:rsid w:val="00E71BE5"/>
    <w:rsid w:val="00E75791"/>
    <w:rsid w:val="00E772AF"/>
    <w:rsid w:val="00E77577"/>
    <w:rsid w:val="00E97E21"/>
    <w:rsid w:val="00EA373D"/>
    <w:rsid w:val="00EA4785"/>
    <w:rsid w:val="00EB3A7D"/>
    <w:rsid w:val="00EB7106"/>
    <w:rsid w:val="00EC05D1"/>
    <w:rsid w:val="00EC75ED"/>
    <w:rsid w:val="00EE4400"/>
    <w:rsid w:val="00F13D61"/>
    <w:rsid w:val="00F27AE3"/>
    <w:rsid w:val="00F4237F"/>
    <w:rsid w:val="00F428D8"/>
    <w:rsid w:val="00F54852"/>
    <w:rsid w:val="00F61377"/>
    <w:rsid w:val="00F62070"/>
    <w:rsid w:val="00F62539"/>
    <w:rsid w:val="00F71034"/>
    <w:rsid w:val="00F858E0"/>
    <w:rsid w:val="00F906AA"/>
    <w:rsid w:val="00F961C4"/>
    <w:rsid w:val="00FA358E"/>
    <w:rsid w:val="00FA4F4C"/>
    <w:rsid w:val="00FA523A"/>
    <w:rsid w:val="00FB3C20"/>
    <w:rsid w:val="00FB6AA9"/>
    <w:rsid w:val="00FC16A1"/>
    <w:rsid w:val="00FC66D0"/>
    <w:rsid w:val="00FD30CB"/>
    <w:rsid w:val="00FD444A"/>
    <w:rsid w:val="00FD7D0C"/>
    <w:rsid w:val="00FE622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E4"/>
    <w:pPr>
      <w:widowControl w:val="0"/>
      <w:spacing w:after="120"/>
    </w:pPr>
    <w:rPr>
      <w:rFonts w:ascii="Courier" w:eastAsia="Times New Roman" w:hAnsi="Courie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4C"/>
    <w:pPr>
      <w:tabs>
        <w:tab w:val="center" w:pos="4536"/>
        <w:tab w:val="right" w:pos="9072"/>
      </w:tabs>
      <w:spacing w:after="0"/>
    </w:pPr>
  </w:style>
  <w:style w:type="character" w:customStyle="1" w:styleId="HeaderChar">
    <w:name w:val="Header Char"/>
    <w:basedOn w:val="DefaultParagraphFont"/>
    <w:link w:val="Header"/>
    <w:uiPriority w:val="99"/>
    <w:rsid w:val="00B92B4C"/>
  </w:style>
  <w:style w:type="paragraph" w:styleId="Footer">
    <w:name w:val="footer"/>
    <w:basedOn w:val="Normal"/>
    <w:link w:val="FooterChar"/>
    <w:uiPriority w:val="99"/>
    <w:unhideWhenUsed/>
    <w:rsid w:val="00B92B4C"/>
    <w:pPr>
      <w:tabs>
        <w:tab w:val="center" w:pos="4536"/>
        <w:tab w:val="right" w:pos="9072"/>
      </w:tabs>
      <w:spacing w:after="0"/>
    </w:pPr>
  </w:style>
  <w:style w:type="character" w:customStyle="1" w:styleId="FooterChar">
    <w:name w:val="Footer Char"/>
    <w:basedOn w:val="DefaultParagraphFont"/>
    <w:link w:val="Footer"/>
    <w:uiPriority w:val="99"/>
    <w:rsid w:val="00B92B4C"/>
  </w:style>
  <w:style w:type="table" w:styleId="TableGrid">
    <w:name w:val="Table Grid"/>
    <w:basedOn w:val="TableNormal"/>
    <w:uiPriority w:val="59"/>
    <w:rsid w:val="00B92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B4C"/>
    <w:pPr>
      <w:spacing w:after="0"/>
    </w:pPr>
    <w:rPr>
      <w:rFonts w:ascii="Tahoma" w:eastAsia="Calibri" w:hAnsi="Tahoma"/>
      <w:snapToGrid/>
      <w:sz w:val="16"/>
      <w:szCs w:val="16"/>
      <w:lang/>
    </w:rPr>
  </w:style>
  <w:style w:type="character" w:customStyle="1" w:styleId="BalloonTextChar">
    <w:name w:val="Balloon Text Char"/>
    <w:link w:val="BalloonText"/>
    <w:uiPriority w:val="99"/>
    <w:semiHidden/>
    <w:rsid w:val="00B92B4C"/>
    <w:rPr>
      <w:rFonts w:ascii="Tahoma" w:hAnsi="Tahoma" w:cs="Tahoma"/>
      <w:sz w:val="16"/>
      <w:szCs w:val="16"/>
    </w:rPr>
  </w:style>
  <w:style w:type="character" w:styleId="Strong">
    <w:name w:val="Strong"/>
    <w:qFormat/>
    <w:rsid w:val="008D5AB7"/>
    <w:rPr>
      <w:b/>
      <w:bCs/>
    </w:rPr>
  </w:style>
  <w:style w:type="character" w:styleId="Hyperlink">
    <w:name w:val="Hyperlink"/>
    <w:uiPriority w:val="99"/>
    <w:unhideWhenUsed/>
    <w:rsid w:val="00D233BD"/>
    <w:rPr>
      <w:color w:val="0000FF"/>
      <w:u w:val="single"/>
    </w:rPr>
  </w:style>
  <w:style w:type="paragraph" w:styleId="ListParagraph">
    <w:name w:val="List Paragraph"/>
    <w:basedOn w:val="Normal"/>
    <w:uiPriority w:val="34"/>
    <w:qFormat/>
    <w:rsid w:val="003A1F99"/>
    <w:pPr>
      <w:widowControl/>
      <w:spacing w:after="200" w:line="276" w:lineRule="auto"/>
      <w:ind w:left="720"/>
      <w:contextualSpacing/>
    </w:pPr>
    <w:rPr>
      <w:rFonts w:ascii="Times New Roman" w:eastAsia="Calibri" w:hAnsi="Times New Roman"/>
      <w:snapToGrid/>
      <w:sz w:val="24"/>
      <w:szCs w:val="22"/>
    </w:rPr>
  </w:style>
  <w:style w:type="character" w:customStyle="1" w:styleId="articol1">
    <w:name w:val="articol1"/>
    <w:rsid w:val="00B6702A"/>
    <w:rPr>
      <w:b/>
      <w:bCs/>
      <w:color w:val="009500"/>
    </w:rPr>
  </w:style>
  <w:style w:type="character" w:customStyle="1" w:styleId="tal1">
    <w:name w:val="tal1"/>
    <w:basedOn w:val="DefaultParagraphFont"/>
    <w:rsid w:val="007C3E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patronatsp.ro" TargetMode="External"/><Relationship Id="rId2" Type="http://schemas.openxmlformats.org/officeDocument/2006/relationships/hyperlink" Target="http://www.patronatsp.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2058</Words>
  <Characters>11939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13970</CharactersWithSpaces>
  <SharedDoc>false</SharedDoc>
  <HLinks>
    <vt:vector size="12" baseType="variant">
      <vt:variant>
        <vt:i4>4391031</vt:i4>
      </vt:variant>
      <vt:variant>
        <vt:i4>6</vt:i4>
      </vt:variant>
      <vt:variant>
        <vt:i4>0</vt:i4>
      </vt:variant>
      <vt:variant>
        <vt:i4>5</vt:i4>
      </vt:variant>
      <vt:variant>
        <vt:lpwstr>mailto:office@patronatsp.ro</vt:lpwstr>
      </vt:variant>
      <vt:variant>
        <vt:lpwstr/>
      </vt:variant>
      <vt:variant>
        <vt:i4>1245275</vt:i4>
      </vt:variant>
      <vt:variant>
        <vt:i4>3</vt:i4>
      </vt:variant>
      <vt:variant>
        <vt:i4>0</vt:i4>
      </vt:variant>
      <vt:variant>
        <vt:i4>5</vt:i4>
      </vt:variant>
      <vt:variant>
        <vt:lpwstr>http://www.patronatsp.ro/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Mihai Cioc</cp:lastModifiedBy>
  <cp:revision>15</cp:revision>
  <cp:lastPrinted>2014-11-10T12:00:00Z</cp:lastPrinted>
  <dcterms:created xsi:type="dcterms:W3CDTF">2015-08-02T09:10:00Z</dcterms:created>
  <dcterms:modified xsi:type="dcterms:W3CDTF">2015-08-02T13:18:00Z</dcterms:modified>
</cp:coreProperties>
</file>