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2D" w:rsidRDefault="008A5855">
      <w:pPr>
        <w:jc w:val="center"/>
        <w:rPr>
          <w:b/>
          <w:bCs/>
        </w:rPr>
      </w:pPr>
      <w:bookmarkStart w:id="0" w:name="_GoBack"/>
      <w:bookmarkEnd w:id="0"/>
      <w:r>
        <w:rPr>
          <w:b/>
          <w:bCs/>
        </w:rPr>
        <w:t>GUVERNUL ROMÂNIEI</w:t>
      </w:r>
    </w:p>
    <w:p w:rsidR="00D83D2D" w:rsidRDefault="008A5855">
      <w:pPr>
        <w:jc w:val="center"/>
      </w:pPr>
      <w:r>
        <w:rPr>
          <w:noProof/>
          <w:lang w:eastAsia="ro-RO"/>
        </w:rPr>
        <w:drawing>
          <wp:inline distT="0" distB="0" distL="0" distR="0">
            <wp:extent cx="723900" cy="9906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6"/>
                    <a:stretch>
                      <a:fillRect/>
                    </a:stretch>
                  </pic:blipFill>
                  <pic:spPr bwMode="auto">
                    <a:xfrm>
                      <a:off x="0" y="0"/>
                      <a:ext cx="723900" cy="990600"/>
                    </a:xfrm>
                    <a:prstGeom prst="rect">
                      <a:avLst/>
                    </a:prstGeom>
                    <a:noFill/>
                    <a:ln w="9525">
                      <a:noFill/>
                      <a:miter lim="800000"/>
                      <a:headEnd/>
                      <a:tailEnd/>
                    </a:ln>
                  </pic:spPr>
                </pic:pic>
              </a:graphicData>
            </a:graphic>
          </wp:inline>
        </w:drawing>
      </w:r>
    </w:p>
    <w:p w:rsidR="00D83D2D" w:rsidRDefault="00D83D2D">
      <w:pPr>
        <w:jc w:val="center"/>
        <w:rPr>
          <w:b/>
        </w:rPr>
      </w:pPr>
    </w:p>
    <w:p w:rsidR="00D83D2D" w:rsidRDefault="008A5855">
      <w:pPr>
        <w:jc w:val="center"/>
        <w:rPr>
          <w:b/>
        </w:rPr>
      </w:pPr>
      <w:r>
        <w:rPr>
          <w:b/>
        </w:rPr>
        <w:t>O R D O N A N Ț Ă   D E    U R G E N Ț Ă</w:t>
      </w:r>
    </w:p>
    <w:p w:rsidR="00D83D2D" w:rsidRDefault="00D83D2D">
      <w:pPr>
        <w:jc w:val="center"/>
        <w:rPr>
          <w:b/>
        </w:rPr>
      </w:pPr>
    </w:p>
    <w:p w:rsidR="00D83D2D" w:rsidRDefault="008A5855">
      <w:pPr>
        <w:jc w:val="center"/>
        <w:rPr>
          <w:b/>
        </w:rPr>
      </w:pPr>
      <w:r>
        <w:rPr>
          <w:b/>
        </w:rPr>
        <w:t xml:space="preserve">privind transmiterea unui imobil din domeniul public al statului și administrarea Societății Române de Televiziune în domeniul public al Municipiului București </w:t>
      </w:r>
    </w:p>
    <w:p w:rsidR="00D83D2D" w:rsidRDefault="00D83D2D">
      <w:pPr>
        <w:jc w:val="both"/>
      </w:pPr>
    </w:p>
    <w:p w:rsidR="00D83D2D" w:rsidRDefault="008A5855">
      <w:pPr>
        <w:jc w:val="both"/>
        <w:rPr>
          <w:rFonts w:cs="Arial"/>
          <w:color w:val="000000"/>
          <w:sz w:val="26"/>
          <w:szCs w:val="26"/>
        </w:rPr>
      </w:pPr>
      <w:r>
        <w:rPr>
          <w:rFonts w:ascii="Arial" w:hAnsi="Arial" w:cs="Arial"/>
          <w:color w:val="FF3333"/>
          <w:sz w:val="24"/>
          <w:szCs w:val="24"/>
        </w:rPr>
        <w:tab/>
      </w:r>
      <w:r>
        <w:rPr>
          <w:rFonts w:cs="Arial"/>
          <w:color w:val="000000"/>
          <w:sz w:val="26"/>
          <w:szCs w:val="26"/>
        </w:rPr>
        <w:t>Având în vedere faptul că Primăria Municipiului București a început demersurile necesare pentru realizarea obiectivului de investiții ”Spital Metropolitan</w:t>
      </w:r>
      <w:r>
        <w:rPr>
          <w:rFonts w:cs="Arial"/>
          <w:b/>
          <w:bCs/>
          <w:color w:val="000000"/>
          <w:sz w:val="26"/>
          <w:szCs w:val="26"/>
        </w:rPr>
        <w:t xml:space="preserve"> </w:t>
      </w:r>
      <w:r>
        <w:rPr>
          <w:rFonts w:cs="Arial"/>
          <w:color w:val="000000"/>
          <w:sz w:val="26"/>
          <w:szCs w:val="26"/>
        </w:rPr>
        <w:t xml:space="preserve">– unitate medicală de excelență, care va dispune de dotări necesare pentru asigurarea unor servicii medicale la standarde europene, precum şi faptul că pentru realizarea acestui proiect a fost identificat un teren aflat în domeniul public al statului și în administrarea Societății Române de Televiziune, ale cărui caracteristici sunt optime pentru realizarea proiectului;  </w:t>
      </w:r>
    </w:p>
    <w:p w:rsidR="00D83D2D" w:rsidRDefault="008A5855">
      <w:pPr>
        <w:jc w:val="both"/>
        <w:rPr>
          <w:rFonts w:cs="Arial"/>
          <w:color w:val="000000"/>
          <w:sz w:val="26"/>
          <w:szCs w:val="26"/>
        </w:rPr>
      </w:pPr>
      <w:r>
        <w:rPr>
          <w:rFonts w:cs="Arial"/>
          <w:color w:val="000000"/>
          <w:sz w:val="26"/>
          <w:szCs w:val="26"/>
        </w:rPr>
        <w:tab/>
        <w:t xml:space="preserve">luând în considerare faptul că terenul este prevăzut în Anexa nr.2 lit.A punctul 4 din Legea nr.41/1994, republicată, privind organizarea și funcționarea Societății Române de Radiodifuziune și Societății Române de Televiziune, cu modificările și completările ulterioare; </w:t>
      </w:r>
    </w:p>
    <w:p w:rsidR="00D83D2D" w:rsidRDefault="008A5855">
      <w:pPr>
        <w:jc w:val="both"/>
        <w:rPr>
          <w:rFonts w:cs="Arial"/>
          <w:color w:val="000000"/>
          <w:sz w:val="26"/>
          <w:szCs w:val="26"/>
        </w:rPr>
      </w:pPr>
      <w:r>
        <w:rPr>
          <w:rFonts w:cs="Arial"/>
          <w:color w:val="000000"/>
          <w:sz w:val="26"/>
          <w:szCs w:val="26"/>
        </w:rPr>
        <w:tab/>
        <w:t>ținând cond de faptul că prin HCGMB nr.295/19.07.2017, se solicită trecerea terenului menționat, din domeniul public al statului și administrarea Societății Române de Televiziune în domeniul public al Municipiului București, în vederea realizării Spitalului Metropolitan;</w:t>
      </w:r>
    </w:p>
    <w:p w:rsidR="00D83D2D" w:rsidRDefault="008A5855">
      <w:pPr>
        <w:jc w:val="both"/>
        <w:rPr>
          <w:rFonts w:cs="Arial"/>
          <w:color w:val="000000"/>
          <w:sz w:val="26"/>
          <w:szCs w:val="26"/>
        </w:rPr>
      </w:pPr>
      <w:r>
        <w:rPr>
          <w:rFonts w:cs="Arial"/>
          <w:color w:val="000000"/>
          <w:sz w:val="26"/>
          <w:szCs w:val="26"/>
        </w:rPr>
        <w:tab/>
        <w:t xml:space="preserve">în considerarea faptului că această măsură vizează interesul public general, respectiv protejarea sănătății populației şi constituie o situaţie de urgenţă şi extraordinară, a cărei reglementare nu poate fi amânată; </w:t>
      </w:r>
    </w:p>
    <w:p w:rsidR="00D83D2D" w:rsidRDefault="008A5855">
      <w:pPr>
        <w:jc w:val="both"/>
        <w:rPr>
          <w:rFonts w:cs="Arial"/>
          <w:color w:val="000000"/>
          <w:sz w:val="26"/>
          <w:szCs w:val="26"/>
        </w:rPr>
      </w:pPr>
      <w:r>
        <w:rPr>
          <w:rFonts w:cs="Arial"/>
          <w:color w:val="000000"/>
          <w:sz w:val="26"/>
          <w:szCs w:val="26"/>
        </w:rPr>
        <w:tab/>
        <w:t>în vederea asigurării cadrului legal, precum şi a condiţiilor necesare realizării obligaţiilor asumate pentru realizarea obiectivului de investiţii „</w:t>
      </w:r>
      <w:r>
        <w:rPr>
          <w:rFonts w:cs="Arial"/>
          <w:b/>
          <w:bCs/>
          <w:color w:val="000000"/>
          <w:sz w:val="26"/>
          <w:szCs w:val="26"/>
        </w:rPr>
        <w:t>Spitalul Metropolitan”</w:t>
      </w:r>
      <w:r>
        <w:rPr>
          <w:rFonts w:cs="Arial"/>
          <w:color w:val="000000"/>
          <w:sz w:val="26"/>
          <w:szCs w:val="26"/>
        </w:rPr>
        <w:t>;</w:t>
      </w:r>
    </w:p>
    <w:p w:rsidR="00D83D2D" w:rsidRDefault="00D83D2D">
      <w:pPr>
        <w:shd w:val="clear" w:color="auto" w:fill="FFFFFF"/>
        <w:jc w:val="both"/>
      </w:pPr>
    </w:p>
    <w:p w:rsidR="00D83D2D" w:rsidRDefault="008A5855">
      <w:pPr>
        <w:shd w:val="clear" w:color="auto" w:fill="FFFFFF"/>
        <w:jc w:val="both"/>
        <w:rPr>
          <w:rFonts w:cs="Arial"/>
          <w:color w:val="000000"/>
          <w:sz w:val="26"/>
          <w:szCs w:val="26"/>
          <w:lang w:val="en-US"/>
        </w:rPr>
      </w:pPr>
      <w:r>
        <w:rPr>
          <w:rFonts w:cs="Arial"/>
          <w:color w:val="000000"/>
          <w:sz w:val="26"/>
          <w:szCs w:val="26"/>
          <w:shd w:val="clear" w:color="auto" w:fill="FFFFFF"/>
        </w:rPr>
        <w:tab/>
        <w:t>În teme</w:t>
      </w:r>
      <w:r>
        <w:rPr>
          <w:rFonts w:cs="Arial"/>
          <w:color w:val="000000"/>
          <w:sz w:val="26"/>
          <w:szCs w:val="26"/>
        </w:rPr>
        <w:t xml:space="preserve">iul art. 115 alin. (4) din Constituţia României, republicată, </w:t>
      </w:r>
      <w:r>
        <w:rPr>
          <w:rFonts w:cs="Arial"/>
          <w:color w:val="000000"/>
          <w:sz w:val="26"/>
          <w:szCs w:val="26"/>
          <w:lang w:val="en-US"/>
        </w:rPr>
        <w:t xml:space="preserve"> </w:t>
      </w:r>
    </w:p>
    <w:p w:rsidR="00D83D2D" w:rsidRDefault="00D83D2D">
      <w:pPr>
        <w:jc w:val="both"/>
      </w:pPr>
    </w:p>
    <w:p w:rsidR="00D83D2D" w:rsidRDefault="008A5855">
      <w:pPr>
        <w:jc w:val="both"/>
        <w:rPr>
          <w:b/>
        </w:rPr>
      </w:pPr>
      <w:r>
        <w:tab/>
      </w:r>
      <w:r>
        <w:rPr>
          <w:b/>
          <w:bCs/>
        </w:rPr>
        <w:t xml:space="preserve">Guvernul </w:t>
      </w:r>
      <w:r>
        <w:rPr>
          <w:b/>
        </w:rPr>
        <w:t>României adoptă prezenta ordonanță de urgență.</w:t>
      </w:r>
    </w:p>
    <w:p w:rsidR="00D83D2D" w:rsidRDefault="00D83D2D">
      <w:pPr>
        <w:jc w:val="both"/>
      </w:pPr>
    </w:p>
    <w:p w:rsidR="00D83D2D" w:rsidRDefault="008A5855">
      <w:pPr>
        <w:jc w:val="both"/>
        <w:rPr>
          <w:sz w:val="26"/>
          <w:szCs w:val="26"/>
        </w:rPr>
      </w:pPr>
      <w:r>
        <w:rPr>
          <w:b/>
        </w:rPr>
        <w:tab/>
      </w:r>
      <w:r>
        <w:rPr>
          <w:sz w:val="26"/>
          <w:szCs w:val="26"/>
        </w:rPr>
        <w:t xml:space="preserve">Art.1. Se aprobă modificarea descrierii tehnice și a valorii de inventar pentru imobilul aflat în domeniul public al statului și în administrarea Societății Române de Televiziune, conform datelor prevăzute în anexa nr.1.  </w:t>
      </w:r>
    </w:p>
    <w:p w:rsidR="00D83D2D" w:rsidRDefault="00D83D2D">
      <w:pPr>
        <w:jc w:val="both"/>
        <w:rPr>
          <w:b/>
          <w:sz w:val="26"/>
          <w:szCs w:val="26"/>
        </w:rPr>
      </w:pPr>
    </w:p>
    <w:p w:rsidR="00D83D2D" w:rsidRDefault="008A5855">
      <w:pPr>
        <w:ind w:firstLine="708"/>
        <w:jc w:val="both"/>
        <w:rPr>
          <w:sz w:val="26"/>
          <w:szCs w:val="26"/>
        </w:rPr>
      </w:pPr>
      <w:r>
        <w:rPr>
          <w:sz w:val="26"/>
          <w:szCs w:val="26"/>
        </w:rPr>
        <w:t xml:space="preserve">Art.2. Se aprobă transmiterea imobilului prevăzut la art.1 din domeniul public al statului şi administrarea Societății Române de Televiziune în domeniul public al Municipiului București, în vederea realizării obiectivului de investiții ”Spital Metropolitan”. </w:t>
      </w:r>
    </w:p>
    <w:p w:rsidR="00D83D2D" w:rsidRDefault="00D83D2D">
      <w:pPr>
        <w:ind w:firstLine="708"/>
        <w:jc w:val="both"/>
        <w:rPr>
          <w:sz w:val="26"/>
          <w:szCs w:val="26"/>
        </w:rPr>
      </w:pPr>
    </w:p>
    <w:p w:rsidR="00D83D2D" w:rsidRDefault="008A5855">
      <w:pPr>
        <w:ind w:firstLine="708"/>
        <w:jc w:val="both"/>
        <w:rPr>
          <w:sz w:val="26"/>
          <w:szCs w:val="26"/>
        </w:rPr>
      </w:pPr>
      <w:r>
        <w:rPr>
          <w:sz w:val="26"/>
          <w:szCs w:val="26"/>
        </w:rPr>
        <w:lastRenderedPageBreak/>
        <w:t xml:space="preserve">Art.3. Consiliul General al Municipiului București preia de la Societatea Română de Televiziune investiții </w:t>
      </w:r>
      <w:r>
        <w:rPr>
          <w:color w:val="000000"/>
          <w:sz w:val="26"/>
          <w:szCs w:val="26"/>
        </w:rPr>
        <w:t>nefinalizate</w:t>
      </w:r>
      <w:r>
        <w:rPr>
          <w:sz w:val="26"/>
          <w:szCs w:val="26"/>
        </w:rPr>
        <w:t xml:space="preserve"> în valoare de </w:t>
      </w:r>
      <w:r>
        <w:rPr>
          <w:color w:val="000000"/>
          <w:sz w:val="26"/>
          <w:szCs w:val="26"/>
        </w:rPr>
        <w:t>944.844</w:t>
      </w:r>
      <w:r>
        <w:rPr>
          <w:color w:val="FF3333"/>
          <w:sz w:val="26"/>
          <w:szCs w:val="26"/>
        </w:rPr>
        <w:t xml:space="preserve"> </w:t>
      </w:r>
      <w:r>
        <w:rPr>
          <w:sz w:val="26"/>
          <w:szCs w:val="26"/>
        </w:rPr>
        <w:t>lei, conform datelor prevăzute în anexa nr.2.</w:t>
      </w:r>
    </w:p>
    <w:p w:rsidR="00D83D2D" w:rsidRDefault="00D83D2D">
      <w:pPr>
        <w:ind w:firstLine="708"/>
        <w:jc w:val="both"/>
        <w:rPr>
          <w:sz w:val="26"/>
          <w:szCs w:val="26"/>
        </w:rPr>
      </w:pPr>
    </w:p>
    <w:p w:rsidR="00D83D2D" w:rsidRDefault="008A5855">
      <w:pPr>
        <w:ind w:firstLine="708"/>
        <w:jc w:val="both"/>
        <w:rPr>
          <w:sz w:val="26"/>
          <w:szCs w:val="26"/>
        </w:rPr>
      </w:pPr>
      <w:r>
        <w:rPr>
          <w:sz w:val="26"/>
          <w:szCs w:val="26"/>
        </w:rPr>
        <w:t>Art.4. Contravaloarea investițiilor prevăzute la art.3 se achită de beneficiar Societății Române de Televiziune, în termen de maxim 30 de zile de la data intrării în vigoare a prezentei ordonanțe de urgență, urmând ca sumele încasate să fie virate bugetelor din care au provenit.</w:t>
      </w:r>
    </w:p>
    <w:p w:rsidR="00D83D2D" w:rsidRDefault="008A5855">
      <w:pPr>
        <w:jc w:val="both"/>
        <w:rPr>
          <w:sz w:val="26"/>
          <w:szCs w:val="26"/>
        </w:rPr>
      </w:pPr>
      <w:r>
        <w:rPr>
          <w:sz w:val="26"/>
          <w:szCs w:val="26"/>
        </w:rPr>
        <w:tab/>
      </w:r>
    </w:p>
    <w:p w:rsidR="00D83D2D" w:rsidRDefault="008A5855">
      <w:pPr>
        <w:jc w:val="both"/>
        <w:rPr>
          <w:sz w:val="26"/>
          <w:szCs w:val="26"/>
        </w:rPr>
      </w:pPr>
      <w:r>
        <w:rPr>
          <w:sz w:val="26"/>
          <w:szCs w:val="26"/>
        </w:rPr>
        <w:tab/>
        <w:t xml:space="preserve">Art.5. (1) Predarea-preluarea imobilului prevăzut la art.1 și a investițiilor nefinalizate prevăzute la art.3 se face prin protocol încheiat între Societatea Română de Televiziune și Consiliul General al Municipiului București în termen de maxim 15 de zile de la plata integrală a sumelor prevăzute la art.4. </w:t>
      </w:r>
    </w:p>
    <w:p w:rsidR="00D83D2D" w:rsidRDefault="008A5855">
      <w:pPr>
        <w:jc w:val="both"/>
        <w:rPr>
          <w:sz w:val="26"/>
          <w:szCs w:val="26"/>
        </w:rPr>
      </w:pPr>
      <w:r>
        <w:rPr>
          <w:sz w:val="26"/>
          <w:szCs w:val="26"/>
        </w:rPr>
        <w:tab/>
        <w:t xml:space="preserve">(2) Consiliul General al Municipiului București preia toate drepturile și obligațiile Societății Române de Televiziune privind imobilul prevăzut la alin.(1). </w:t>
      </w:r>
    </w:p>
    <w:p w:rsidR="00D83D2D" w:rsidRDefault="00D83D2D">
      <w:pPr>
        <w:jc w:val="both"/>
        <w:rPr>
          <w:sz w:val="26"/>
          <w:szCs w:val="26"/>
        </w:rPr>
      </w:pPr>
    </w:p>
    <w:p w:rsidR="00D83D2D" w:rsidRDefault="008A5855">
      <w:pPr>
        <w:jc w:val="both"/>
        <w:rPr>
          <w:sz w:val="26"/>
          <w:szCs w:val="26"/>
        </w:rPr>
      </w:pPr>
      <w:r>
        <w:rPr>
          <w:sz w:val="26"/>
          <w:szCs w:val="26"/>
        </w:rPr>
        <w:tab/>
        <w:t>Art.6. (1) În situația în care, în termen de maxim 5 ani de la intrarea în vigoare a prezentei ordonanțe de urgență nu au fost începute procedurile legale de demarare a investiției, imobilul prevăzut la art.2 revine de drept în domeniul public al statului și în administrarea Societății Române de Televiziune.</w:t>
      </w:r>
    </w:p>
    <w:p w:rsidR="00D83D2D" w:rsidRDefault="008A5855">
      <w:pPr>
        <w:jc w:val="both"/>
        <w:rPr>
          <w:sz w:val="26"/>
          <w:szCs w:val="26"/>
        </w:rPr>
      </w:pPr>
      <w:r>
        <w:rPr>
          <w:sz w:val="26"/>
          <w:szCs w:val="26"/>
        </w:rPr>
        <w:tab/>
        <w:t xml:space="preserve">(2) În condițiile în care au fost începute procedurile legale de demarare a investiției în termenul prevăzut la alin.(1), imobilul prevăzut la art.2 rămâne în domeniul public al Municipiului București. </w:t>
      </w:r>
    </w:p>
    <w:p w:rsidR="00D83D2D" w:rsidRDefault="00D83D2D">
      <w:pPr>
        <w:ind w:firstLine="708"/>
        <w:jc w:val="both"/>
        <w:rPr>
          <w:color w:val="FF3333"/>
          <w:sz w:val="26"/>
          <w:szCs w:val="26"/>
        </w:rPr>
      </w:pPr>
    </w:p>
    <w:p w:rsidR="00D83D2D" w:rsidRDefault="008A5855">
      <w:pPr>
        <w:ind w:firstLine="708"/>
        <w:jc w:val="both"/>
        <w:rPr>
          <w:sz w:val="26"/>
          <w:szCs w:val="26"/>
        </w:rPr>
      </w:pPr>
      <w:r>
        <w:rPr>
          <w:sz w:val="26"/>
          <w:szCs w:val="26"/>
        </w:rPr>
        <w:t>Art.7. Societatea Română de Televiziune își va actualiza în mod corespunzător datele din evidența cantitativ-valorică și, împreună cu Ministerul Finanțelor Publice, va opera modificările corespunzătoare în inventarul centralizat al bunurilor din domeniul public al statului aprobat prin Hotărârea Guvernului nr.1705/2006, cu modificările și completările ulterioare, în termen de 15 zile de la predarea imobilului conform prevederilor art.5 alin.(1).</w:t>
      </w:r>
    </w:p>
    <w:p w:rsidR="00D83D2D" w:rsidRDefault="00D83D2D">
      <w:pPr>
        <w:ind w:firstLine="708"/>
        <w:jc w:val="both"/>
        <w:rPr>
          <w:sz w:val="26"/>
          <w:szCs w:val="26"/>
        </w:rPr>
      </w:pPr>
    </w:p>
    <w:p w:rsidR="00D83D2D" w:rsidRDefault="008A5855">
      <w:pPr>
        <w:ind w:firstLine="708"/>
        <w:jc w:val="both"/>
        <w:rPr>
          <w:sz w:val="26"/>
          <w:szCs w:val="26"/>
        </w:rPr>
      </w:pPr>
      <w:r>
        <w:rPr>
          <w:sz w:val="26"/>
          <w:szCs w:val="26"/>
        </w:rPr>
        <w:t>Art.8. La data intrării în vigoare a prezentei ordonanțe de urgență se abrogă punctul nr.4 din Anexa nr.2 lit.A la Legea nr.41/1994 privind organizarea și funcționarea Societății Române de Radiodifuziune și Societății Române de Televiziune, republicată în Monitorul Oficial al României, Partea I, nr.636 din 27 decembrie 1999, cu modificările și completările ulterioare.</w:t>
      </w:r>
    </w:p>
    <w:p w:rsidR="00D83D2D" w:rsidRDefault="008A5855">
      <w:pPr>
        <w:ind w:firstLine="708"/>
        <w:jc w:val="both"/>
        <w:rPr>
          <w:sz w:val="26"/>
          <w:szCs w:val="26"/>
        </w:rPr>
      </w:pPr>
      <w:r>
        <w:rPr>
          <w:sz w:val="26"/>
          <w:szCs w:val="26"/>
        </w:rPr>
        <w:t xml:space="preserve"> </w:t>
      </w:r>
    </w:p>
    <w:p w:rsidR="00D83D2D" w:rsidRDefault="008A5855">
      <w:pPr>
        <w:jc w:val="both"/>
        <w:rPr>
          <w:sz w:val="26"/>
          <w:szCs w:val="26"/>
        </w:rPr>
      </w:pPr>
      <w:r>
        <w:rPr>
          <w:sz w:val="26"/>
          <w:szCs w:val="26"/>
        </w:rPr>
        <w:tab/>
        <w:t xml:space="preserve">Art.9. Anexele nr.1 și nr.2 fac parte integrantă din prezenta ordonanță de urgență. </w:t>
      </w:r>
    </w:p>
    <w:p w:rsidR="00D83D2D" w:rsidRDefault="00D83D2D">
      <w:pPr>
        <w:ind w:firstLine="720"/>
        <w:jc w:val="both"/>
        <w:rPr>
          <w:color w:val="FF0000"/>
          <w:sz w:val="26"/>
          <w:szCs w:val="26"/>
        </w:rPr>
      </w:pPr>
    </w:p>
    <w:p w:rsidR="00D83D2D" w:rsidRDefault="00D83D2D">
      <w:pPr>
        <w:ind w:firstLine="720"/>
        <w:jc w:val="both"/>
        <w:rPr>
          <w:color w:val="000000"/>
          <w:sz w:val="26"/>
          <w:szCs w:val="26"/>
        </w:rPr>
      </w:pPr>
    </w:p>
    <w:p w:rsidR="00D83D2D" w:rsidRDefault="008A5855">
      <w:pPr>
        <w:jc w:val="both"/>
        <w:rPr>
          <w:color w:val="000000"/>
          <w:sz w:val="26"/>
          <w:szCs w:val="26"/>
        </w:rPr>
      </w:pPr>
      <w:r>
        <w:rPr>
          <w:color w:val="000000"/>
          <w:sz w:val="26"/>
          <w:szCs w:val="26"/>
        </w:rPr>
        <w:tab/>
      </w:r>
    </w:p>
    <w:p w:rsidR="00D83D2D" w:rsidRDefault="008A5855">
      <w:pPr>
        <w:jc w:val="center"/>
        <w:rPr>
          <w:b/>
          <w:bCs/>
          <w:color w:val="000000"/>
          <w:sz w:val="26"/>
          <w:szCs w:val="26"/>
        </w:rPr>
      </w:pPr>
      <w:r>
        <w:rPr>
          <w:b/>
          <w:bCs/>
          <w:color w:val="000000"/>
          <w:sz w:val="26"/>
          <w:szCs w:val="26"/>
        </w:rPr>
        <w:t>PRIM</w:t>
      </w:r>
      <w:r>
        <w:rPr>
          <w:color w:val="000000"/>
          <w:sz w:val="26"/>
          <w:szCs w:val="26"/>
        </w:rPr>
        <w:t xml:space="preserve"> – </w:t>
      </w:r>
      <w:r>
        <w:rPr>
          <w:b/>
          <w:bCs/>
          <w:color w:val="000000"/>
          <w:sz w:val="26"/>
          <w:szCs w:val="26"/>
        </w:rPr>
        <w:t>MINISTRU</w:t>
      </w:r>
    </w:p>
    <w:p w:rsidR="00D83D2D" w:rsidRDefault="00D83D2D">
      <w:pPr>
        <w:jc w:val="center"/>
        <w:rPr>
          <w:b/>
          <w:bCs/>
          <w:color w:val="000000"/>
          <w:sz w:val="26"/>
          <w:szCs w:val="26"/>
        </w:rPr>
      </w:pPr>
    </w:p>
    <w:p w:rsidR="00D83D2D" w:rsidRDefault="008A5855">
      <w:pPr>
        <w:jc w:val="center"/>
        <w:rPr>
          <w:b/>
          <w:bCs/>
          <w:color w:val="000000"/>
          <w:sz w:val="26"/>
          <w:szCs w:val="26"/>
        </w:rPr>
      </w:pPr>
      <w:r>
        <w:rPr>
          <w:b/>
          <w:bCs/>
          <w:color w:val="000000"/>
          <w:sz w:val="26"/>
          <w:szCs w:val="26"/>
        </w:rPr>
        <w:t>VASILICA – VIORICA DĂNCILĂ</w:t>
      </w:r>
    </w:p>
    <w:p w:rsidR="00D83D2D" w:rsidRDefault="00D83D2D">
      <w:pPr>
        <w:jc w:val="center"/>
        <w:rPr>
          <w:b/>
          <w:bCs/>
          <w:color w:val="000000"/>
          <w:sz w:val="26"/>
          <w:szCs w:val="26"/>
        </w:rPr>
      </w:pPr>
    </w:p>
    <w:p w:rsidR="00D83D2D" w:rsidRDefault="00D83D2D">
      <w:pPr>
        <w:jc w:val="center"/>
        <w:rPr>
          <w:b/>
          <w:bCs/>
          <w:color w:val="000000"/>
          <w:sz w:val="26"/>
          <w:szCs w:val="26"/>
        </w:rPr>
      </w:pPr>
    </w:p>
    <w:p w:rsidR="00D83D2D" w:rsidRDefault="00D83D2D">
      <w:pPr>
        <w:jc w:val="center"/>
        <w:rPr>
          <w:b/>
          <w:bCs/>
          <w:color w:val="000000"/>
          <w:sz w:val="26"/>
          <w:szCs w:val="26"/>
        </w:rPr>
      </w:pPr>
    </w:p>
    <w:p w:rsidR="00D83D2D" w:rsidRDefault="00D83D2D">
      <w:pPr>
        <w:jc w:val="both"/>
        <w:rPr>
          <w:b/>
          <w:color w:val="000000"/>
          <w:sz w:val="26"/>
          <w:szCs w:val="26"/>
        </w:rPr>
      </w:pPr>
    </w:p>
    <w:p w:rsidR="00D83D2D" w:rsidRDefault="00D83D2D">
      <w:pPr>
        <w:jc w:val="both"/>
        <w:rPr>
          <w:color w:val="000000"/>
          <w:sz w:val="26"/>
          <w:szCs w:val="26"/>
        </w:rPr>
      </w:pPr>
    </w:p>
    <w:p w:rsidR="00D83D2D" w:rsidRDefault="00D83D2D">
      <w:pPr>
        <w:jc w:val="both"/>
        <w:rPr>
          <w:color w:val="000000"/>
          <w:sz w:val="26"/>
          <w:szCs w:val="26"/>
        </w:rPr>
      </w:pPr>
    </w:p>
    <w:p w:rsidR="00D83D2D" w:rsidRDefault="00D83D2D">
      <w:pPr>
        <w:jc w:val="both"/>
      </w:pPr>
    </w:p>
    <w:p w:rsidR="00D83D2D" w:rsidRDefault="00D83D2D">
      <w:pPr>
        <w:jc w:val="right"/>
      </w:pPr>
    </w:p>
    <w:p w:rsidR="00D83D2D" w:rsidRDefault="008A5855">
      <w:pPr>
        <w:jc w:val="right"/>
      </w:pPr>
      <w:r>
        <w:t>ANEXA 1</w:t>
      </w:r>
    </w:p>
    <w:p w:rsidR="00D83D2D" w:rsidRDefault="00D83D2D">
      <w:pPr>
        <w:jc w:val="right"/>
        <w:rPr>
          <w:sz w:val="26"/>
          <w:szCs w:val="26"/>
        </w:rPr>
      </w:pPr>
    </w:p>
    <w:p w:rsidR="00D83D2D" w:rsidRDefault="008A5855">
      <w:pPr>
        <w:pStyle w:val="Heading1"/>
        <w:numPr>
          <w:ilvl w:val="0"/>
          <w:numId w:val="1"/>
        </w:numPr>
        <w:ind w:left="0"/>
        <w:rPr>
          <w:rFonts w:ascii="Times New Roman" w:hAnsi="Times New Roman"/>
          <w:sz w:val="26"/>
          <w:szCs w:val="26"/>
          <w:lang w:val="ro-RO"/>
        </w:rPr>
      </w:pPr>
      <w:r>
        <w:rPr>
          <w:rFonts w:ascii="Times New Roman" w:hAnsi="Times New Roman"/>
          <w:sz w:val="26"/>
          <w:szCs w:val="26"/>
          <w:lang w:val="ro-RO"/>
        </w:rPr>
        <w:t>DATELE DE IDENTIFICARE</w:t>
      </w:r>
    </w:p>
    <w:p w:rsidR="00D83D2D" w:rsidRDefault="00D83D2D">
      <w:pPr>
        <w:rPr>
          <w:sz w:val="26"/>
          <w:szCs w:val="26"/>
        </w:rPr>
      </w:pPr>
    </w:p>
    <w:p w:rsidR="00D83D2D" w:rsidRDefault="008A5855">
      <w:pPr>
        <w:jc w:val="center"/>
        <w:rPr>
          <w:b/>
          <w:bCs/>
          <w:sz w:val="26"/>
          <w:szCs w:val="26"/>
        </w:rPr>
      </w:pPr>
      <w:r>
        <w:rPr>
          <w:b/>
          <w:bCs/>
          <w:sz w:val="26"/>
          <w:szCs w:val="26"/>
        </w:rPr>
        <w:t>ale imobilului, aflat în domeniul public al statului și administrarea Societății Române de Televiziune, pentru care se modifică descrierea tehnică potrivit cărții funciare și valoarea de inventar potrivit reevaluării</w:t>
      </w:r>
    </w:p>
    <w:p w:rsidR="00D83D2D" w:rsidRDefault="00D83D2D">
      <w:pPr>
        <w:jc w:val="center"/>
        <w:rPr>
          <w:sz w:val="26"/>
          <w:szCs w:val="26"/>
        </w:rPr>
      </w:pPr>
    </w:p>
    <w:p w:rsidR="00D83D2D" w:rsidRDefault="00D83D2D">
      <w:pPr>
        <w:jc w:val="center"/>
        <w:rPr>
          <w:sz w:val="26"/>
          <w:szCs w:val="26"/>
        </w:rPr>
      </w:pPr>
    </w:p>
    <w:tbl>
      <w:tblPr>
        <w:tblW w:w="0" w:type="auto"/>
        <w:tblInd w:w="-969" w:type="dxa"/>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4A0" w:firstRow="1" w:lastRow="0" w:firstColumn="1" w:lastColumn="0" w:noHBand="0" w:noVBand="1"/>
      </w:tblPr>
      <w:tblGrid>
        <w:gridCol w:w="1680"/>
        <w:gridCol w:w="1349"/>
        <w:gridCol w:w="1233"/>
        <w:gridCol w:w="2822"/>
        <w:gridCol w:w="1608"/>
        <w:gridCol w:w="1895"/>
      </w:tblGrid>
      <w:tr w:rsidR="00D83D2D">
        <w:trPr>
          <w:trHeight w:val="907"/>
        </w:trPr>
        <w:tc>
          <w:tcPr>
            <w:tcW w:w="1747"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sz w:val="26"/>
                <w:szCs w:val="26"/>
              </w:rPr>
            </w:pPr>
            <w:r>
              <w:rPr>
                <w:sz w:val="26"/>
                <w:szCs w:val="26"/>
              </w:rPr>
              <w:t>Nr inventar MFP conform HG nr. 1705/2006</w:t>
            </w:r>
          </w:p>
        </w:tc>
        <w:tc>
          <w:tcPr>
            <w:tcW w:w="1364"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sz w:val="26"/>
                <w:szCs w:val="26"/>
              </w:rPr>
            </w:pPr>
            <w:r>
              <w:rPr>
                <w:sz w:val="26"/>
                <w:szCs w:val="26"/>
              </w:rPr>
              <w:t>Cod clasificație</w:t>
            </w:r>
          </w:p>
        </w:tc>
        <w:tc>
          <w:tcPr>
            <w:tcW w:w="1244"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sz w:val="26"/>
                <w:szCs w:val="26"/>
              </w:rPr>
            </w:pPr>
            <w:r>
              <w:rPr>
                <w:sz w:val="26"/>
                <w:szCs w:val="26"/>
              </w:rPr>
              <w:t xml:space="preserve">Denumire </w:t>
            </w:r>
          </w:p>
        </w:tc>
        <w:tc>
          <w:tcPr>
            <w:tcW w:w="3060"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sz w:val="26"/>
                <w:szCs w:val="26"/>
              </w:rPr>
            </w:pPr>
            <w:r>
              <w:rPr>
                <w:sz w:val="26"/>
                <w:szCs w:val="26"/>
              </w:rPr>
              <w:t>Descriere tehnică</w:t>
            </w:r>
          </w:p>
        </w:tc>
        <w:tc>
          <w:tcPr>
            <w:tcW w:w="1682"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sz w:val="26"/>
                <w:szCs w:val="26"/>
              </w:rPr>
            </w:pPr>
            <w:r>
              <w:rPr>
                <w:sz w:val="26"/>
                <w:szCs w:val="26"/>
              </w:rPr>
              <w:t xml:space="preserve">Adresa </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D83D2D" w:rsidRDefault="008A5855">
            <w:pPr>
              <w:jc w:val="center"/>
              <w:rPr>
                <w:sz w:val="26"/>
                <w:szCs w:val="26"/>
              </w:rPr>
            </w:pPr>
            <w:r>
              <w:rPr>
                <w:sz w:val="26"/>
                <w:szCs w:val="26"/>
              </w:rPr>
              <w:t>Valoarea de inventar</w:t>
            </w:r>
          </w:p>
          <w:p w:rsidR="00D83D2D" w:rsidRDefault="008A5855">
            <w:pPr>
              <w:jc w:val="center"/>
              <w:rPr>
                <w:sz w:val="26"/>
                <w:szCs w:val="26"/>
              </w:rPr>
            </w:pPr>
            <w:r>
              <w:rPr>
                <w:sz w:val="26"/>
                <w:szCs w:val="26"/>
              </w:rPr>
              <w:t xml:space="preserve"> (lei)</w:t>
            </w:r>
          </w:p>
        </w:tc>
      </w:tr>
      <w:tr w:rsidR="00D83D2D">
        <w:trPr>
          <w:trHeight w:val="771"/>
        </w:trPr>
        <w:tc>
          <w:tcPr>
            <w:tcW w:w="1747"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bCs/>
                <w:sz w:val="24"/>
                <w:szCs w:val="24"/>
              </w:rPr>
            </w:pPr>
            <w:r>
              <w:rPr>
                <w:sz w:val="24"/>
                <w:szCs w:val="24"/>
              </w:rPr>
              <w:t>150</w:t>
            </w:r>
            <w:r>
              <w:rPr>
                <w:bCs/>
                <w:sz w:val="24"/>
                <w:szCs w:val="24"/>
              </w:rPr>
              <w:t>342</w:t>
            </w:r>
          </w:p>
        </w:tc>
        <w:tc>
          <w:tcPr>
            <w:tcW w:w="1364"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rPr>
                <w:bCs/>
                <w:sz w:val="24"/>
                <w:szCs w:val="24"/>
              </w:rPr>
            </w:pPr>
            <w:r>
              <w:rPr>
                <w:bCs/>
                <w:sz w:val="24"/>
                <w:szCs w:val="24"/>
              </w:rPr>
              <w:t>8.30.__</w:t>
            </w:r>
          </w:p>
        </w:tc>
        <w:tc>
          <w:tcPr>
            <w:tcW w:w="1244"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rPr>
                <w:bCs/>
                <w:sz w:val="24"/>
                <w:szCs w:val="24"/>
              </w:rPr>
            </w:pPr>
            <w:r>
              <w:rPr>
                <w:bCs/>
                <w:sz w:val="24"/>
                <w:szCs w:val="24"/>
              </w:rPr>
              <w:t>TEREN</w:t>
            </w:r>
          </w:p>
          <w:p w:rsidR="00D83D2D" w:rsidRDefault="008A5855">
            <w:pPr>
              <w:rPr>
                <w:bCs/>
                <w:sz w:val="24"/>
                <w:szCs w:val="24"/>
              </w:rPr>
            </w:pPr>
            <w:r>
              <w:rPr>
                <w:bCs/>
                <w:sz w:val="24"/>
                <w:szCs w:val="24"/>
              </w:rPr>
              <w:t>Intravilan</w:t>
            </w:r>
          </w:p>
        </w:tc>
        <w:tc>
          <w:tcPr>
            <w:tcW w:w="3060"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rPr>
                <w:bCs/>
                <w:sz w:val="24"/>
                <w:szCs w:val="24"/>
              </w:rPr>
            </w:pPr>
            <w:r>
              <w:rPr>
                <w:bCs/>
                <w:sz w:val="24"/>
                <w:szCs w:val="24"/>
              </w:rPr>
              <w:t>Suprafața</w:t>
            </w:r>
          </w:p>
          <w:p w:rsidR="00D83D2D" w:rsidRDefault="008A5855">
            <w:pPr>
              <w:rPr>
                <w:bCs/>
                <w:sz w:val="24"/>
                <w:szCs w:val="24"/>
              </w:rPr>
            </w:pPr>
            <w:r>
              <w:rPr>
                <w:bCs/>
                <w:sz w:val="24"/>
                <w:szCs w:val="24"/>
              </w:rPr>
              <w:t>Din acte: 50000 mp</w:t>
            </w:r>
          </w:p>
          <w:p w:rsidR="00D83D2D" w:rsidRDefault="008A5855">
            <w:pPr>
              <w:rPr>
                <w:bCs/>
                <w:sz w:val="24"/>
                <w:szCs w:val="24"/>
              </w:rPr>
            </w:pPr>
            <w:r>
              <w:rPr>
                <w:bCs/>
                <w:sz w:val="24"/>
                <w:szCs w:val="24"/>
              </w:rPr>
              <w:t>Măsurată: 47155 mp</w:t>
            </w:r>
          </w:p>
          <w:p w:rsidR="00D83D2D" w:rsidRDefault="008A5855">
            <w:pPr>
              <w:rPr>
                <w:bCs/>
                <w:sz w:val="24"/>
                <w:szCs w:val="24"/>
              </w:rPr>
            </w:pPr>
            <w:r>
              <w:rPr>
                <w:bCs/>
                <w:sz w:val="24"/>
                <w:szCs w:val="24"/>
              </w:rPr>
              <w:t>Teren împrejmuit</w:t>
            </w:r>
          </w:p>
          <w:p w:rsidR="00D83D2D" w:rsidRDefault="00D83D2D"/>
          <w:p w:rsidR="00D83D2D" w:rsidRDefault="008A5855">
            <w:pPr>
              <w:rPr>
                <w:sz w:val="24"/>
                <w:szCs w:val="24"/>
              </w:rPr>
            </w:pPr>
            <w:r>
              <w:rPr>
                <w:sz w:val="24"/>
                <w:szCs w:val="24"/>
              </w:rPr>
              <w:t xml:space="preserve">C1- Cabină poartă, </w:t>
            </w:r>
          </w:p>
          <w:p w:rsidR="00D83D2D" w:rsidRDefault="008A5855">
            <w:pPr>
              <w:rPr>
                <w:sz w:val="24"/>
                <w:szCs w:val="24"/>
              </w:rPr>
            </w:pPr>
            <w:r>
              <w:rPr>
                <w:sz w:val="24"/>
                <w:szCs w:val="24"/>
              </w:rPr>
              <w:t xml:space="preserve">S. construită la sol: 52 mp; </w:t>
            </w:r>
          </w:p>
          <w:p w:rsidR="00D83D2D" w:rsidRDefault="008A5855">
            <w:pPr>
              <w:rPr>
                <w:sz w:val="24"/>
                <w:szCs w:val="24"/>
              </w:rPr>
            </w:pPr>
            <w:r>
              <w:rPr>
                <w:sz w:val="24"/>
                <w:szCs w:val="24"/>
              </w:rPr>
              <w:t>C2-Fundație,</w:t>
            </w:r>
          </w:p>
          <w:p w:rsidR="00D83D2D" w:rsidRDefault="008A5855">
            <w:pPr>
              <w:rPr>
                <w:sz w:val="24"/>
                <w:szCs w:val="24"/>
              </w:rPr>
            </w:pPr>
            <w:r>
              <w:rPr>
                <w:sz w:val="24"/>
                <w:szCs w:val="24"/>
              </w:rPr>
              <w:t>S. construită la sol: 1837 mp;</w:t>
            </w:r>
          </w:p>
          <w:p w:rsidR="00D83D2D" w:rsidRDefault="00D83D2D">
            <w:pPr>
              <w:rPr>
                <w:sz w:val="24"/>
                <w:szCs w:val="24"/>
              </w:rPr>
            </w:pPr>
          </w:p>
          <w:p w:rsidR="00D83D2D" w:rsidRDefault="008A5855">
            <w:pPr>
              <w:rPr>
                <w:sz w:val="24"/>
                <w:szCs w:val="24"/>
              </w:rPr>
            </w:pPr>
            <w:r>
              <w:rPr>
                <w:sz w:val="24"/>
                <w:szCs w:val="24"/>
              </w:rPr>
              <w:t>CF 237261, București, Sectorul 2</w:t>
            </w:r>
          </w:p>
          <w:p w:rsidR="00D83D2D" w:rsidRDefault="00D83D2D"/>
          <w:p w:rsidR="00D83D2D" w:rsidRDefault="00D83D2D">
            <w:pPr>
              <w:jc w:val="center"/>
              <w:rPr>
                <w:bCs/>
                <w:sz w:val="24"/>
                <w:szCs w:val="24"/>
              </w:rPr>
            </w:pPr>
          </w:p>
        </w:tc>
        <w:tc>
          <w:tcPr>
            <w:tcW w:w="1682"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rPr>
                <w:bCs/>
                <w:sz w:val="24"/>
                <w:szCs w:val="24"/>
              </w:rPr>
            </w:pPr>
            <w:r>
              <w:rPr>
                <w:bCs/>
                <w:sz w:val="24"/>
                <w:szCs w:val="24"/>
              </w:rPr>
              <w:t xml:space="preserve">Bucureşti, Șoseaua Pipera nr.63-65, </w:t>
            </w:r>
          </w:p>
          <w:p w:rsidR="00D83D2D" w:rsidRDefault="008A5855">
            <w:pPr>
              <w:rPr>
                <w:bCs/>
                <w:sz w:val="24"/>
                <w:szCs w:val="24"/>
              </w:rPr>
            </w:pPr>
            <w:r>
              <w:rPr>
                <w:bCs/>
                <w:sz w:val="24"/>
                <w:szCs w:val="24"/>
              </w:rPr>
              <w:t>Sectorul 2</w:t>
            </w:r>
          </w:p>
        </w:tc>
        <w:tc>
          <w:tcPr>
            <w:tcW w:w="1953"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D83D2D" w:rsidRDefault="008A5855">
            <w:pPr>
              <w:rPr>
                <w:bCs/>
                <w:color w:val="000000"/>
                <w:sz w:val="24"/>
                <w:szCs w:val="24"/>
              </w:rPr>
            </w:pPr>
            <w:r>
              <w:rPr>
                <w:bCs/>
                <w:color w:val="000000"/>
                <w:sz w:val="24"/>
                <w:szCs w:val="24"/>
              </w:rPr>
              <w:t>75.170.417,60 lei</w:t>
            </w:r>
          </w:p>
          <w:p w:rsidR="00D83D2D" w:rsidRDefault="00D83D2D"/>
        </w:tc>
      </w:tr>
    </w:tbl>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p w:rsidR="00D83D2D" w:rsidRDefault="008A5855">
      <w:pPr>
        <w:tabs>
          <w:tab w:val="left" w:pos="13286"/>
        </w:tabs>
        <w:rPr>
          <w:sz w:val="26"/>
          <w:szCs w:val="26"/>
        </w:rPr>
      </w:pPr>
      <w:r>
        <w:rPr>
          <w:sz w:val="26"/>
          <w:szCs w:val="26"/>
        </w:rPr>
        <w:lastRenderedPageBreak/>
        <w:tab/>
      </w:r>
    </w:p>
    <w:p w:rsidR="00D83D2D" w:rsidRDefault="00D83D2D">
      <w:pPr>
        <w:tabs>
          <w:tab w:val="left" w:pos="13286"/>
        </w:tabs>
        <w:rPr>
          <w:sz w:val="26"/>
          <w:szCs w:val="26"/>
        </w:rPr>
      </w:pPr>
    </w:p>
    <w:p w:rsidR="00D83D2D" w:rsidRDefault="00D83D2D">
      <w:pPr>
        <w:tabs>
          <w:tab w:val="left" w:pos="13286"/>
        </w:tabs>
        <w:rPr>
          <w:sz w:val="26"/>
          <w:szCs w:val="26"/>
        </w:rPr>
      </w:pPr>
    </w:p>
    <w:p w:rsidR="00D83D2D" w:rsidRDefault="00D83D2D">
      <w:pPr>
        <w:tabs>
          <w:tab w:val="left" w:pos="13286"/>
        </w:tabs>
        <w:rPr>
          <w:sz w:val="26"/>
          <w:szCs w:val="26"/>
        </w:rPr>
      </w:pPr>
    </w:p>
    <w:p w:rsidR="00D83D2D" w:rsidRDefault="00D83D2D">
      <w:pPr>
        <w:tabs>
          <w:tab w:val="left" w:pos="13286"/>
        </w:tabs>
        <w:rPr>
          <w:sz w:val="26"/>
          <w:szCs w:val="26"/>
        </w:rPr>
      </w:pPr>
    </w:p>
    <w:p w:rsidR="00D83D2D" w:rsidRDefault="00D83D2D">
      <w:pPr>
        <w:tabs>
          <w:tab w:val="left" w:pos="13286"/>
        </w:tabs>
      </w:pPr>
    </w:p>
    <w:p w:rsidR="00D83D2D" w:rsidRDefault="00D83D2D">
      <w:pPr>
        <w:jc w:val="right"/>
      </w:pPr>
    </w:p>
    <w:p w:rsidR="00D83D2D" w:rsidRDefault="00D83D2D">
      <w:pPr>
        <w:jc w:val="right"/>
      </w:pPr>
    </w:p>
    <w:p w:rsidR="00D83D2D" w:rsidRDefault="008A5855">
      <w:pPr>
        <w:jc w:val="right"/>
      </w:pPr>
      <w:r>
        <w:t>ANEXA 2</w:t>
      </w:r>
    </w:p>
    <w:p w:rsidR="00D83D2D" w:rsidRDefault="00D83D2D">
      <w:pPr>
        <w:jc w:val="right"/>
        <w:rPr>
          <w:sz w:val="26"/>
          <w:szCs w:val="26"/>
        </w:rPr>
      </w:pPr>
    </w:p>
    <w:p w:rsidR="00D83D2D" w:rsidRDefault="008A5855">
      <w:pPr>
        <w:pStyle w:val="Heading1"/>
        <w:numPr>
          <w:ilvl w:val="0"/>
          <w:numId w:val="1"/>
        </w:numPr>
        <w:ind w:left="0"/>
        <w:rPr>
          <w:rFonts w:ascii="Times New Roman" w:hAnsi="Times New Roman"/>
          <w:sz w:val="26"/>
          <w:szCs w:val="26"/>
        </w:rPr>
      </w:pPr>
      <w:r>
        <w:rPr>
          <w:rFonts w:ascii="Times New Roman" w:hAnsi="Times New Roman"/>
          <w:sz w:val="26"/>
          <w:szCs w:val="26"/>
        </w:rPr>
        <w:t xml:space="preserve">DATELE </w:t>
      </w:r>
    </w:p>
    <w:p w:rsidR="00D83D2D" w:rsidRDefault="00D83D2D">
      <w:pPr>
        <w:ind w:hanging="432"/>
      </w:pPr>
    </w:p>
    <w:p w:rsidR="00D83D2D" w:rsidRDefault="008A5855">
      <w:pPr>
        <w:pStyle w:val="Heading1"/>
        <w:numPr>
          <w:ilvl w:val="0"/>
          <w:numId w:val="1"/>
        </w:numPr>
        <w:ind w:left="0"/>
        <w:rPr>
          <w:rFonts w:ascii="Times New Roman" w:hAnsi="Times New Roman"/>
          <w:bCs/>
          <w:sz w:val="26"/>
          <w:szCs w:val="26"/>
        </w:rPr>
      </w:pPr>
      <w:r>
        <w:rPr>
          <w:rFonts w:ascii="Times New Roman" w:hAnsi="Times New Roman"/>
          <w:sz w:val="26"/>
          <w:szCs w:val="26"/>
        </w:rPr>
        <w:t xml:space="preserve">privind investițiile la imobilul identificat în inventarul centralizat al bunurilor din domeniul public al statului la numărul MF </w:t>
      </w:r>
      <w:r>
        <w:rPr>
          <w:rFonts w:ascii="Times New Roman" w:hAnsi="Times New Roman"/>
          <w:bCs/>
          <w:sz w:val="26"/>
          <w:szCs w:val="26"/>
        </w:rPr>
        <w:t xml:space="preserve">150342, a căror contravaloare va fi suportată din bugetul Consiliului General al Municipiului București </w:t>
      </w:r>
    </w:p>
    <w:p w:rsidR="00D83D2D" w:rsidRDefault="00D83D2D">
      <w:pPr>
        <w:jc w:val="center"/>
        <w:rPr>
          <w:sz w:val="26"/>
          <w:szCs w:val="26"/>
        </w:rPr>
      </w:pPr>
    </w:p>
    <w:p w:rsidR="00D83D2D" w:rsidRDefault="00D83D2D">
      <w:pPr>
        <w:jc w:val="center"/>
        <w:rPr>
          <w:sz w:val="26"/>
          <w:szCs w:val="26"/>
        </w:rPr>
      </w:pPr>
    </w:p>
    <w:p w:rsidR="00D83D2D" w:rsidRDefault="00D83D2D">
      <w:pPr>
        <w:jc w:val="center"/>
        <w:rPr>
          <w:sz w:val="26"/>
          <w:szCs w:val="26"/>
        </w:rPr>
      </w:pPr>
    </w:p>
    <w:tbl>
      <w:tblPr>
        <w:tblW w:w="0" w:type="auto"/>
        <w:tblInd w:w="-129" w:type="dxa"/>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4A0" w:firstRow="1" w:lastRow="0" w:firstColumn="1" w:lastColumn="0" w:noHBand="0" w:noVBand="1"/>
      </w:tblPr>
      <w:tblGrid>
        <w:gridCol w:w="1920"/>
        <w:gridCol w:w="4133"/>
        <w:gridCol w:w="3514"/>
      </w:tblGrid>
      <w:tr w:rsidR="00D83D2D">
        <w:trPr>
          <w:trHeight w:val="595"/>
        </w:trPr>
        <w:tc>
          <w:tcPr>
            <w:tcW w:w="1920"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sz w:val="26"/>
                <w:szCs w:val="26"/>
              </w:rPr>
            </w:pPr>
            <w:r>
              <w:rPr>
                <w:sz w:val="26"/>
                <w:szCs w:val="26"/>
              </w:rPr>
              <w:t>Denumire</w:t>
            </w:r>
          </w:p>
          <w:p w:rsidR="00D83D2D" w:rsidRDefault="00D83D2D">
            <w:pPr>
              <w:rPr>
                <w:sz w:val="26"/>
                <w:szCs w:val="26"/>
              </w:rPr>
            </w:pPr>
          </w:p>
        </w:tc>
        <w:tc>
          <w:tcPr>
            <w:tcW w:w="4133"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jc w:val="center"/>
              <w:rPr>
                <w:sz w:val="26"/>
                <w:szCs w:val="26"/>
              </w:rPr>
            </w:pPr>
            <w:r>
              <w:rPr>
                <w:sz w:val="26"/>
                <w:szCs w:val="26"/>
              </w:rPr>
              <w:t>Descriere tehnică</w:t>
            </w:r>
          </w:p>
        </w:tc>
        <w:tc>
          <w:tcPr>
            <w:tcW w:w="351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D83D2D" w:rsidRDefault="008A5855">
            <w:pPr>
              <w:jc w:val="center"/>
              <w:rPr>
                <w:sz w:val="26"/>
                <w:szCs w:val="26"/>
              </w:rPr>
            </w:pPr>
            <w:r>
              <w:rPr>
                <w:sz w:val="26"/>
                <w:szCs w:val="26"/>
              </w:rPr>
              <w:t>Valoarea (lei)</w:t>
            </w:r>
          </w:p>
          <w:p w:rsidR="00D83D2D" w:rsidRDefault="00D83D2D"/>
        </w:tc>
      </w:tr>
      <w:tr w:rsidR="00D83D2D">
        <w:trPr>
          <w:trHeight w:val="1234"/>
        </w:trPr>
        <w:tc>
          <w:tcPr>
            <w:tcW w:w="1920"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rPr>
                <w:color w:val="000000"/>
                <w:sz w:val="26"/>
                <w:szCs w:val="26"/>
              </w:rPr>
            </w:pPr>
            <w:r>
              <w:rPr>
                <w:color w:val="000000"/>
                <w:sz w:val="26"/>
                <w:szCs w:val="26"/>
              </w:rPr>
              <w:t>Investiții  nefinalizate</w:t>
            </w:r>
          </w:p>
        </w:tc>
        <w:tc>
          <w:tcPr>
            <w:tcW w:w="4133" w:type="dxa"/>
            <w:tcBorders>
              <w:top w:val="single" w:sz="4" w:space="0" w:color="000001"/>
              <w:left w:val="single" w:sz="4" w:space="0" w:color="000001"/>
              <w:bottom w:val="single" w:sz="4" w:space="0" w:color="000001"/>
              <w:right w:val="nil"/>
            </w:tcBorders>
            <w:shd w:val="clear" w:color="auto" w:fill="FFFFFF"/>
            <w:tcMar>
              <w:left w:w="8" w:type="dxa"/>
            </w:tcMar>
          </w:tcPr>
          <w:p w:rsidR="00D83D2D" w:rsidRDefault="008A5855">
            <w:pPr>
              <w:rPr>
                <w:bCs/>
                <w:color w:val="000000"/>
                <w:sz w:val="24"/>
                <w:szCs w:val="24"/>
              </w:rPr>
            </w:pPr>
            <w:r>
              <w:rPr>
                <w:bCs/>
                <w:color w:val="000000"/>
                <w:sz w:val="24"/>
                <w:szCs w:val="24"/>
              </w:rPr>
              <w:t>-cabină poartă cu suprafața construită la sol de 52 mp;</w:t>
            </w:r>
          </w:p>
          <w:p w:rsidR="00D83D2D" w:rsidRDefault="008A5855">
            <w:pPr>
              <w:rPr>
                <w:bCs/>
                <w:color w:val="000000"/>
                <w:sz w:val="24"/>
                <w:szCs w:val="24"/>
              </w:rPr>
            </w:pPr>
            <w:r>
              <w:rPr>
                <w:bCs/>
                <w:color w:val="000000"/>
                <w:sz w:val="24"/>
                <w:szCs w:val="24"/>
              </w:rPr>
              <w:t>-fundație în suprafață de 1837 mp;</w:t>
            </w:r>
          </w:p>
          <w:p w:rsidR="00D83D2D" w:rsidRDefault="008A5855">
            <w:pPr>
              <w:rPr>
                <w:bCs/>
                <w:color w:val="000000"/>
                <w:sz w:val="24"/>
                <w:szCs w:val="24"/>
              </w:rPr>
            </w:pPr>
            <w:r>
              <w:rPr>
                <w:bCs/>
                <w:color w:val="000000"/>
                <w:sz w:val="24"/>
                <w:szCs w:val="24"/>
              </w:rPr>
              <w:t xml:space="preserve">-împrejmuire obiectiv Pipera; </w:t>
            </w:r>
          </w:p>
          <w:p w:rsidR="00D83D2D" w:rsidRDefault="00D83D2D">
            <w:pPr>
              <w:rPr>
                <w:bCs/>
                <w:color w:val="000000"/>
                <w:sz w:val="26"/>
                <w:szCs w:val="26"/>
              </w:rPr>
            </w:pPr>
          </w:p>
        </w:tc>
        <w:tc>
          <w:tcPr>
            <w:tcW w:w="3514"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D83D2D" w:rsidRDefault="008A5855">
            <w:pPr>
              <w:rPr>
                <w:color w:val="000000"/>
                <w:sz w:val="26"/>
                <w:szCs w:val="26"/>
              </w:rPr>
            </w:pPr>
            <w:r>
              <w:rPr>
                <w:color w:val="000000"/>
                <w:sz w:val="26"/>
                <w:szCs w:val="26"/>
              </w:rPr>
              <w:t>Total 944.844 lei,</w:t>
            </w:r>
          </w:p>
          <w:p w:rsidR="00D83D2D" w:rsidRDefault="008A5855">
            <w:pPr>
              <w:rPr>
                <w:color w:val="000000"/>
                <w:sz w:val="26"/>
                <w:szCs w:val="26"/>
              </w:rPr>
            </w:pPr>
            <w:r>
              <w:rPr>
                <w:color w:val="000000"/>
                <w:sz w:val="26"/>
                <w:szCs w:val="26"/>
              </w:rPr>
              <w:t>din care:</w:t>
            </w:r>
          </w:p>
          <w:p w:rsidR="00D83D2D" w:rsidRDefault="008A5855">
            <w:pPr>
              <w:rPr>
                <w:color w:val="000000"/>
                <w:sz w:val="26"/>
                <w:szCs w:val="26"/>
              </w:rPr>
            </w:pPr>
            <w:r>
              <w:rPr>
                <w:color w:val="000000"/>
                <w:sz w:val="26"/>
                <w:szCs w:val="26"/>
              </w:rPr>
              <w:t>- 930.384 lei din alocații de la bugetul de stat;</w:t>
            </w:r>
          </w:p>
          <w:p w:rsidR="00D83D2D" w:rsidRDefault="008A5855">
            <w:pPr>
              <w:rPr>
                <w:color w:val="000000"/>
                <w:sz w:val="26"/>
                <w:szCs w:val="26"/>
              </w:rPr>
            </w:pPr>
            <w:r>
              <w:rPr>
                <w:color w:val="000000"/>
                <w:sz w:val="26"/>
                <w:szCs w:val="26"/>
              </w:rPr>
              <w:t>- 14.460 lei din surse proprii.</w:t>
            </w:r>
          </w:p>
        </w:tc>
      </w:tr>
    </w:tbl>
    <w:p w:rsidR="00D83D2D" w:rsidRDefault="00D83D2D">
      <w:pPr>
        <w:jc w:val="center"/>
        <w:rPr>
          <w:sz w:val="26"/>
          <w:szCs w:val="26"/>
        </w:rPr>
      </w:pPr>
    </w:p>
    <w:p w:rsidR="00D83D2D" w:rsidRDefault="00D83D2D">
      <w:pPr>
        <w:jc w:val="center"/>
        <w:rPr>
          <w:sz w:val="26"/>
          <w:szCs w:val="26"/>
        </w:rPr>
      </w:pPr>
    </w:p>
    <w:p w:rsidR="00D83D2D" w:rsidRDefault="00D83D2D"/>
    <w:p w:rsidR="00D83D2D" w:rsidRDefault="00D83D2D"/>
    <w:sectPr w:rsidR="00D83D2D">
      <w:pgSz w:w="11906" w:h="16838"/>
      <w:pgMar w:top="1140" w:right="1106" w:bottom="1140" w:left="1298" w:header="0" w:footer="0" w:gutter="0"/>
      <w:cols w:space="708"/>
      <w:formProt w:val="0"/>
      <w:docGrid w:linePitch="24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imesRomanR">
    <w:altName w:val="Times New Roman"/>
    <w:charset w:val="EE"/>
    <w:family w:val="roman"/>
    <w:pitch w:val="variable"/>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0B9"/>
    <w:multiLevelType w:val="multilevel"/>
    <w:tmpl w:val="B6EC21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D1A4B0F"/>
    <w:multiLevelType w:val="multilevel"/>
    <w:tmpl w:val="765AD7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2D"/>
    <w:rsid w:val="008A5855"/>
    <w:rsid w:val="00B0171C"/>
    <w:rsid w:val="00D83D2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B"/>
    <w:pPr>
      <w:suppressAutoHyphens/>
      <w:spacing w:line="240" w:lineRule="auto"/>
    </w:pPr>
    <w:rPr>
      <w:rFonts w:ascii="Times New Roman" w:eastAsia="Times New Roman" w:hAnsi="Times New Roman" w:cs="Times New Roman"/>
      <w:color w:val="00000A"/>
      <w:sz w:val="28"/>
      <w:szCs w:val="28"/>
      <w:lang w:eastAsia="zh-CN"/>
    </w:rPr>
  </w:style>
  <w:style w:type="paragraph" w:styleId="Heading1">
    <w:name w:val="heading 1"/>
    <w:basedOn w:val="Normal"/>
    <w:next w:val="Normal"/>
    <w:link w:val="Heading1Char"/>
    <w:qFormat/>
    <w:rsid w:val="00BA0A6B"/>
    <w:pPr>
      <w:keepNext/>
      <w:tabs>
        <w:tab w:val="left" w:pos="360"/>
      </w:tabs>
      <w:ind w:firstLine="720"/>
      <w:jc w:val="center"/>
      <w:outlineLvl w:val="0"/>
    </w:pPr>
    <w:rPr>
      <w:rFonts w:ascii="TimesRomanR" w:hAnsi="TimesRomanR" w:cs="TimesRoman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A6B"/>
    <w:rPr>
      <w:rFonts w:ascii="TimesRomanR" w:eastAsia="Times New Roman" w:hAnsi="TimesRomanR" w:cs="TimesRomanR"/>
      <w:b/>
      <w:sz w:val="28"/>
      <w:szCs w:val="20"/>
      <w:lang w:val="en-US" w:eastAsia="zh-CN"/>
    </w:rPr>
  </w:style>
  <w:style w:type="paragraph" w:customStyle="1" w:styleId="Heading">
    <w:name w:val="Heading"/>
    <w:basedOn w:val="Normal"/>
    <w:next w:val="TextBody"/>
    <w:pPr>
      <w:keepNext/>
      <w:spacing w:before="240" w:after="120"/>
    </w:pPr>
    <w:rPr>
      <w:rFonts w:ascii="Liberation Sans" w:eastAsia="Microsoft YaHei" w:hAnsi="Liberation Sans" w:cs="Mangal"/>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B0171C"/>
    <w:rPr>
      <w:rFonts w:ascii="Tahoma" w:hAnsi="Tahoma" w:cs="Tahoma"/>
      <w:sz w:val="16"/>
      <w:szCs w:val="16"/>
    </w:rPr>
  </w:style>
  <w:style w:type="character" w:customStyle="1" w:styleId="BalloonTextChar">
    <w:name w:val="Balloon Text Char"/>
    <w:basedOn w:val="DefaultParagraphFont"/>
    <w:link w:val="BalloonText"/>
    <w:uiPriority w:val="99"/>
    <w:semiHidden/>
    <w:rsid w:val="00B0171C"/>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o-RO"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A6B"/>
    <w:pPr>
      <w:suppressAutoHyphens/>
      <w:spacing w:line="240" w:lineRule="auto"/>
    </w:pPr>
    <w:rPr>
      <w:rFonts w:ascii="Times New Roman" w:eastAsia="Times New Roman" w:hAnsi="Times New Roman" w:cs="Times New Roman"/>
      <w:color w:val="00000A"/>
      <w:sz w:val="28"/>
      <w:szCs w:val="28"/>
      <w:lang w:eastAsia="zh-CN"/>
    </w:rPr>
  </w:style>
  <w:style w:type="paragraph" w:styleId="Heading1">
    <w:name w:val="heading 1"/>
    <w:basedOn w:val="Normal"/>
    <w:next w:val="Normal"/>
    <w:link w:val="Heading1Char"/>
    <w:qFormat/>
    <w:rsid w:val="00BA0A6B"/>
    <w:pPr>
      <w:keepNext/>
      <w:tabs>
        <w:tab w:val="left" w:pos="360"/>
      </w:tabs>
      <w:ind w:firstLine="720"/>
      <w:jc w:val="center"/>
      <w:outlineLvl w:val="0"/>
    </w:pPr>
    <w:rPr>
      <w:rFonts w:ascii="TimesRomanR" w:hAnsi="TimesRomanR" w:cs="TimesRoman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0A6B"/>
    <w:rPr>
      <w:rFonts w:ascii="TimesRomanR" w:eastAsia="Times New Roman" w:hAnsi="TimesRomanR" w:cs="TimesRomanR"/>
      <w:b/>
      <w:sz w:val="28"/>
      <w:szCs w:val="20"/>
      <w:lang w:val="en-US" w:eastAsia="zh-CN"/>
    </w:rPr>
  </w:style>
  <w:style w:type="paragraph" w:customStyle="1" w:styleId="Heading">
    <w:name w:val="Heading"/>
    <w:basedOn w:val="Normal"/>
    <w:next w:val="TextBody"/>
    <w:pPr>
      <w:keepNext/>
      <w:spacing w:before="240" w:after="120"/>
    </w:pPr>
    <w:rPr>
      <w:rFonts w:ascii="Liberation Sans" w:eastAsia="Microsoft YaHei" w:hAnsi="Liberation Sans" w:cs="Mangal"/>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B0171C"/>
    <w:rPr>
      <w:rFonts w:ascii="Tahoma" w:hAnsi="Tahoma" w:cs="Tahoma"/>
      <w:sz w:val="16"/>
      <w:szCs w:val="16"/>
    </w:rPr>
  </w:style>
  <w:style w:type="character" w:customStyle="1" w:styleId="BalloonTextChar">
    <w:name w:val="Balloon Text Char"/>
    <w:basedOn w:val="DefaultParagraphFont"/>
    <w:link w:val="BalloonText"/>
    <w:uiPriority w:val="99"/>
    <w:semiHidden/>
    <w:rsid w:val="00B0171C"/>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882</Words>
  <Characters>5116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RACEU</dc:creator>
  <cp:lastModifiedBy>Victor</cp:lastModifiedBy>
  <cp:revision>2</cp:revision>
  <cp:lastPrinted>2018-03-14T14:32:00Z</cp:lastPrinted>
  <dcterms:created xsi:type="dcterms:W3CDTF">2018-03-15T12:22:00Z</dcterms:created>
  <dcterms:modified xsi:type="dcterms:W3CDTF">2018-03-15T12:22:00Z</dcterms:modified>
  <dc:language>ro-RO</dc:language>
</cp:coreProperties>
</file>