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54" w:rsidRDefault="00297754" w:rsidP="001E78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A0" w:rsidRDefault="00F615A0" w:rsidP="001E78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0C" w:rsidRPr="008C1832" w:rsidRDefault="0051290C" w:rsidP="005129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32">
        <w:rPr>
          <w:rFonts w:ascii="Times New Roman" w:hAnsi="Times New Roman" w:cs="Times New Roman"/>
          <w:b/>
          <w:sz w:val="24"/>
          <w:szCs w:val="24"/>
        </w:rPr>
        <w:t>INFORMARE</w:t>
      </w:r>
    </w:p>
    <w:p w:rsidR="0051290C" w:rsidRPr="008C1832" w:rsidRDefault="0051290C" w:rsidP="005129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32">
        <w:rPr>
          <w:rFonts w:ascii="Times New Roman" w:hAnsi="Times New Roman" w:cs="Times New Roman"/>
          <w:b/>
          <w:sz w:val="24"/>
          <w:szCs w:val="24"/>
        </w:rPr>
        <w:t xml:space="preserve">privind prețurile </w:t>
      </w:r>
      <w:r w:rsidRPr="008C1832">
        <w:rPr>
          <w:rFonts w:ascii="Times New Roman" w:hAnsi="Times New Roman" w:cs="Times New Roman"/>
          <w:b/>
          <w:bCs/>
          <w:sz w:val="24"/>
          <w:szCs w:val="24"/>
        </w:rPr>
        <w:t>la gazele naturale furnizate clienților casnici</w:t>
      </w:r>
    </w:p>
    <w:p w:rsidR="0051290C" w:rsidRPr="008C1832" w:rsidRDefault="0051290C" w:rsidP="005129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90C" w:rsidRDefault="0051290C" w:rsidP="005129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90C" w:rsidRPr="008C1832" w:rsidRDefault="0051290C" w:rsidP="005129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832">
        <w:rPr>
          <w:rFonts w:ascii="Times New Roman" w:hAnsi="Times New Roman" w:cs="Times New Roman"/>
          <w:bCs/>
          <w:sz w:val="24"/>
          <w:szCs w:val="24"/>
        </w:rPr>
        <w:t xml:space="preserve">În ședința de astăzi, 19.07.2018, membrii </w:t>
      </w:r>
      <w:r w:rsidRPr="008C1832">
        <w:rPr>
          <w:rFonts w:ascii="Times New Roman" w:hAnsi="Times New Roman" w:cs="Times New Roman"/>
          <w:b/>
          <w:bCs/>
          <w:sz w:val="24"/>
          <w:szCs w:val="24"/>
        </w:rPr>
        <w:t>Comitetului de reglementare al ANRE</w:t>
      </w:r>
      <w:r w:rsidRPr="008C1832">
        <w:rPr>
          <w:rFonts w:ascii="Times New Roman" w:hAnsi="Times New Roman" w:cs="Times New Roman"/>
          <w:bCs/>
          <w:sz w:val="24"/>
          <w:szCs w:val="24"/>
        </w:rPr>
        <w:t xml:space="preserve"> au luat în discuție solicitările furnizorilor de gaze naturale cu privire la ajustarea prețurilor. </w:t>
      </w:r>
    </w:p>
    <w:p w:rsidR="0051290C" w:rsidRPr="008C1832" w:rsidRDefault="0051290C" w:rsidP="005129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90C" w:rsidRPr="008C1832" w:rsidRDefault="002E5E7C" w:rsidP="005129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Solicitările vin ca urmare a faptului că, </w:t>
      </w:r>
      <w:r w:rsidR="0051290C" w:rsidRPr="008C1832">
        <w:rPr>
          <w:rFonts w:ascii="Times New Roman" w:hAnsi="Times New Roman" w:cs="Times New Roman"/>
          <w:bCs/>
          <w:sz w:val="24"/>
          <w:szCs w:val="24"/>
        </w:rPr>
        <w:t xml:space="preserve">începând cu data de 1 aprilie 2017, preţul de achiziție a gazelor naturale din producţia internă s-a liberalizat, </w:t>
      </w:r>
      <w:r w:rsidR="0051290C" w:rsidRPr="008C1832">
        <w:rPr>
          <w:rFonts w:ascii="Times New Roman" w:hAnsi="Times New Roman" w:cs="Times New Roman"/>
          <w:color w:val="000000"/>
          <w:sz w:val="24"/>
          <w:szCs w:val="24"/>
        </w:rPr>
        <w:t>producătorii a</w:t>
      </w:r>
      <w:r w:rsidR="00ED02D9">
        <w:rPr>
          <w:rFonts w:ascii="Times New Roman" w:hAnsi="Times New Roman" w:cs="Times New Roman"/>
          <w:color w:val="000000"/>
          <w:sz w:val="24"/>
          <w:szCs w:val="24"/>
        </w:rPr>
        <w:t xml:space="preserve">vând </w:t>
      </w:r>
      <w:r w:rsidR="0051290C" w:rsidRPr="008C1832">
        <w:rPr>
          <w:rFonts w:ascii="Times New Roman" w:hAnsi="Times New Roman" w:cs="Times New Roman"/>
          <w:color w:val="000000"/>
          <w:sz w:val="24"/>
          <w:szCs w:val="24"/>
        </w:rPr>
        <w:t>libertatea să vândă gazele naturale la un preț care nu mai este reglementat.</w:t>
      </w:r>
      <w:r w:rsidR="0051290C" w:rsidRPr="008C183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1290C" w:rsidRPr="008C1832" w:rsidRDefault="0051290C" w:rsidP="005129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90C" w:rsidRPr="008C1832" w:rsidRDefault="0051290C" w:rsidP="005129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832">
        <w:rPr>
          <w:rFonts w:ascii="Times New Roman" w:hAnsi="Times New Roman" w:cs="Times New Roman"/>
          <w:bCs/>
          <w:sz w:val="24"/>
          <w:szCs w:val="24"/>
        </w:rPr>
        <w:t>În prezent, g</w:t>
      </w:r>
      <w:r w:rsidRPr="008C1832">
        <w:rPr>
          <w:rFonts w:ascii="Times New Roman" w:hAnsi="Times New Roman" w:cs="Times New Roman"/>
          <w:sz w:val="24"/>
          <w:szCs w:val="24"/>
          <w:lang w:val="en-US"/>
        </w:rPr>
        <w:t>azele naturale de proveniență internă se vând pe piața concurențială, inclusiv pentru clienții casnici,</w:t>
      </w:r>
      <w:r w:rsidRPr="008C1832">
        <w:rPr>
          <w:rFonts w:ascii="Times New Roman" w:hAnsi="Times New Roman" w:cs="Times New Roman"/>
          <w:bCs/>
          <w:sz w:val="24"/>
          <w:szCs w:val="24"/>
        </w:rPr>
        <w:t xml:space="preserve"> preţul de achiziț</w:t>
      </w:r>
      <w:r w:rsidR="00DD7092">
        <w:rPr>
          <w:rFonts w:ascii="Times New Roman" w:hAnsi="Times New Roman" w:cs="Times New Roman"/>
          <w:bCs/>
          <w:sz w:val="24"/>
          <w:szCs w:val="24"/>
        </w:rPr>
        <w:t xml:space="preserve">ie al acestora fiind stabilit </w:t>
      </w:r>
      <w:r w:rsidRPr="008C1832">
        <w:rPr>
          <w:rFonts w:ascii="Times New Roman" w:hAnsi="Times New Roman" w:cs="Times New Roman"/>
          <w:bCs/>
          <w:sz w:val="24"/>
          <w:szCs w:val="24"/>
        </w:rPr>
        <w:t xml:space="preserve">în mod liber, pe baza cererii și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C1832">
        <w:rPr>
          <w:rFonts w:ascii="Times New Roman" w:hAnsi="Times New Roman" w:cs="Times New Roman"/>
          <w:bCs/>
          <w:sz w:val="24"/>
          <w:szCs w:val="24"/>
        </w:rPr>
        <w:t>ofertei.</w:t>
      </w:r>
    </w:p>
    <w:p w:rsidR="0051290C" w:rsidRPr="008C1832" w:rsidRDefault="0051290C" w:rsidP="005129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C2F" w:rsidRDefault="009F0C2F" w:rsidP="009F0C2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Astfel, prețul gazelor naturale din producția internă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 evoluat după cum urmează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:rsidR="009F0C2F" w:rsidRDefault="009F0C2F" w:rsidP="009F0C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4478" w:rsidRDefault="009F0C2F" w:rsidP="0089155B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9F0C2F">
        <w:rPr>
          <w:rStyle w:val="Strong"/>
          <w:rFonts w:ascii="Times New Roman" w:hAnsi="Times New Roman" w:cs="Times New Roman"/>
          <w:sz w:val="24"/>
          <w:szCs w:val="24"/>
          <w:lang w:val="en-US"/>
        </w:rPr>
        <w:t>În perioada ianuarie 2013 - aprilie 2017,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4707DF" w:rsidRPr="009F0C2F">
        <w:rPr>
          <w:rFonts w:ascii="Times New Roman" w:hAnsi="Times New Roman"/>
          <w:sz w:val="24"/>
          <w:szCs w:val="24"/>
        </w:rPr>
        <w:t>prin calendarele de liberalizare stabilite prin memorandumuri şi hotărâri de Guvern</w:t>
      </w:r>
      <w:r w:rsidR="004707DF">
        <w:rPr>
          <w:rFonts w:ascii="Times New Roman" w:hAnsi="Times New Roman"/>
          <w:sz w:val="24"/>
          <w:szCs w:val="24"/>
        </w:rPr>
        <w:t xml:space="preserve">, </w:t>
      </w:r>
      <w:r w:rsidRPr="009F0C2F">
        <w:rPr>
          <w:rFonts w:ascii="Times New Roman" w:hAnsi="Times New Roman"/>
          <w:sz w:val="24"/>
          <w:szCs w:val="24"/>
        </w:rPr>
        <w:t xml:space="preserve">evoluţia preţului producţiei interne </w:t>
      </w:r>
      <w:r>
        <w:rPr>
          <w:rFonts w:ascii="Times New Roman" w:hAnsi="Times New Roman"/>
          <w:sz w:val="24"/>
          <w:szCs w:val="24"/>
        </w:rPr>
        <w:t xml:space="preserve">a cunoscut o creştere </w:t>
      </w:r>
      <w:r w:rsidR="004707DF">
        <w:rPr>
          <w:rFonts w:ascii="Times New Roman" w:hAnsi="Times New Roman"/>
          <w:sz w:val="24"/>
          <w:szCs w:val="24"/>
        </w:rPr>
        <w:t xml:space="preserve">de la </w:t>
      </w:r>
      <w:r w:rsidR="004707DF" w:rsidRPr="009F0C2F">
        <w:rPr>
          <w:rFonts w:ascii="Times New Roman" w:hAnsi="Times New Roman"/>
          <w:b/>
          <w:sz w:val="24"/>
          <w:szCs w:val="24"/>
        </w:rPr>
        <w:t>45</w:t>
      </w:r>
      <w:proofErr w:type="gramStart"/>
      <w:r w:rsidR="004707DF" w:rsidRPr="009F0C2F">
        <w:rPr>
          <w:rFonts w:ascii="Times New Roman" w:hAnsi="Times New Roman"/>
          <w:b/>
          <w:sz w:val="24"/>
          <w:szCs w:val="24"/>
        </w:rPr>
        <w:t>,71</w:t>
      </w:r>
      <w:proofErr w:type="gramEnd"/>
      <w:r w:rsidR="004707DF" w:rsidRPr="009F0C2F">
        <w:rPr>
          <w:rFonts w:ascii="Times New Roman" w:hAnsi="Times New Roman"/>
          <w:b/>
          <w:sz w:val="24"/>
          <w:szCs w:val="24"/>
        </w:rPr>
        <w:t xml:space="preserve"> lei</w:t>
      </w:r>
      <w:r w:rsidR="004707DF" w:rsidRPr="009F0C2F">
        <w:rPr>
          <w:rFonts w:ascii="Times New Roman" w:hAnsi="Times New Roman"/>
          <w:b/>
          <w:sz w:val="24"/>
          <w:szCs w:val="24"/>
          <w:lang w:val="en-US"/>
        </w:rPr>
        <w:t>/</w:t>
      </w:r>
      <w:r w:rsidR="004707DF" w:rsidRPr="009F0C2F">
        <w:rPr>
          <w:rFonts w:ascii="Times New Roman" w:hAnsi="Times New Roman"/>
          <w:b/>
          <w:sz w:val="24"/>
          <w:szCs w:val="24"/>
        </w:rPr>
        <w:t>MWh</w:t>
      </w:r>
      <w:r w:rsidR="004707DF">
        <w:rPr>
          <w:rFonts w:ascii="Times New Roman" w:hAnsi="Times New Roman"/>
          <w:sz w:val="24"/>
          <w:szCs w:val="24"/>
        </w:rPr>
        <w:t xml:space="preserve"> la </w:t>
      </w:r>
      <w:r w:rsidR="004707DF" w:rsidRPr="009F0C2F">
        <w:rPr>
          <w:rFonts w:ascii="Times New Roman" w:hAnsi="Times New Roman"/>
          <w:b/>
          <w:sz w:val="24"/>
          <w:szCs w:val="24"/>
        </w:rPr>
        <w:t>60 lei/MWh</w:t>
      </w:r>
      <w:r w:rsidR="004707DF">
        <w:rPr>
          <w:rFonts w:ascii="Times New Roman" w:hAnsi="Times New Roman"/>
          <w:b/>
          <w:sz w:val="24"/>
          <w:szCs w:val="24"/>
        </w:rPr>
        <w:t>,</w:t>
      </w:r>
      <w:r w:rsidR="00470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consumatorii casnici</w:t>
      </w:r>
      <w:r w:rsidR="004707D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15A0" w:rsidRDefault="00F615A0" w:rsidP="0089155B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964A4" w:rsidRDefault="00AC3137" w:rsidP="005964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Odată cu </w:t>
      </w:r>
      <w:r w:rsidRPr="00AC3137">
        <w:rPr>
          <w:rFonts w:ascii="Times New Roman" w:eastAsia="Calibri" w:hAnsi="Times New Roman" w:cs="Times New Roman"/>
          <w:sz w:val="24"/>
          <w:szCs w:val="24"/>
        </w:rPr>
        <w:t>intr</w:t>
      </w:r>
      <w:r>
        <w:rPr>
          <w:rFonts w:ascii="Times New Roman" w:eastAsia="Calibri" w:hAnsi="Times New Roman" w:cs="Times New Roman"/>
          <w:sz w:val="24"/>
          <w:szCs w:val="24"/>
        </w:rPr>
        <w:t>area</w:t>
      </w:r>
      <w:r w:rsidRPr="00AC3137">
        <w:rPr>
          <w:rFonts w:ascii="Times New Roman" w:eastAsia="Calibri" w:hAnsi="Times New Roman" w:cs="Times New Roman"/>
          <w:sz w:val="24"/>
          <w:szCs w:val="24"/>
        </w:rPr>
        <w:t xml:space="preserve"> în vigoare a Ordonanţei de Urgenţă a Guvernului nr. 64/2016</w:t>
      </w:r>
      <w:r w:rsidRPr="005964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96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4A4">
        <w:rPr>
          <w:rFonts w:ascii="Times New Roman" w:hAnsi="Times New Roman"/>
          <w:sz w:val="24"/>
          <w:szCs w:val="24"/>
        </w:rPr>
        <w:t>prețurile de vânzare a gazelor naturale de către producătorii interni</w:t>
      </w:r>
      <w:r w:rsidR="005964A4" w:rsidRPr="00596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4A4">
        <w:rPr>
          <w:rFonts w:ascii="Times New Roman" w:eastAsia="Calibri" w:hAnsi="Times New Roman" w:cs="Times New Roman"/>
          <w:sz w:val="24"/>
          <w:szCs w:val="24"/>
        </w:rPr>
        <w:t>au evoluat după cum urmează</w:t>
      </w:r>
      <w:r w:rsidR="005964A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5964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137" w:rsidRDefault="00AC3137" w:rsidP="00AC31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90C" w:rsidRPr="0089155B" w:rsidRDefault="0051290C" w:rsidP="008915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155B">
        <w:rPr>
          <w:rFonts w:ascii="Times New Roman" w:hAnsi="Times New Roman"/>
          <w:b/>
          <w:sz w:val="24"/>
          <w:szCs w:val="24"/>
        </w:rPr>
        <w:t>Evoluți</w:t>
      </w:r>
      <w:r w:rsidR="00330117">
        <w:rPr>
          <w:rFonts w:ascii="Times New Roman" w:hAnsi="Times New Roman"/>
          <w:b/>
          <w:sz w:val="24"/>
          <w:szCs w:val="24"/>
        </w:rPr>
        <w:t>a</w:t>
      </w:r>
      <w:r w:rsidRPr="0089155B">
        <w:rPr>
          <w:rFonts w:ascii="Times New Roman" w:hAnsi="Times New Roman"/>
          <w:b/>
          <w:sz w:val="24"/>
          <w:szCs w:val="24"/>
        </w:rPr>
        <w:t xml:space="preserve"> prețuri</w:t>
      </w:r>
      <w:r w:rsidR="00330117">
        <w:rPr>
          <w:rFonts w:ascii="Times New Roman" w:hAnsi="Times New Roman"/>
          <w:b/>
          <w:sz w:val="24"/>
          <w:szCs w:val="24"/>
        </w:rPr>
        <w:t>lor</w:t>
      </w:r>
      <w:r w:rsidRPr="0089155B">
        <w:rPr>
          <w:rFonts w:ascii="Times New Roman" w:hAnsi="Times New Roman"/>
          <w:b/>
          <w:sz w:val="24"/>
          <w:szCs w:val="24"/>
        </w:rPr>
        <w:t xml:space="preserve"> de vânzare a gazelor naturale de către producătorii interni în perioada aprilie 2017 – martie 2018</w:t>
      </w:r>
      <w:r w:rsidRPr="0089155B">
        <w:rPr>
          <w:rFonts w:ascii="Times New Roman" w:hAnsi="Times New Roman"/>
          <w:b/>
          <w:i/>
          <w:sz w:val="24"/>
          <w:szCs w:val="24"/>
        </w:rPr>
        <w:t>:</w:t>
      </w:r>
    </w:p>
    <w:p w:rsidR="0089155B" w:rsidRPr="0089155B" w:rsidRDefault="0089155B" w:rsidP="008915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/>
      </w:tblPr>
      <w:tblGrid>
        <w:gridCol w:w="2410"/>
        <w:gridCol w:w="992"/>
        <w:gridCol w:w="993"/>
        <w:gridCol w:w="992"/>
        <w:gridCol w:w="992"/>
        <w:gridCol w:w="992"/>
        <w:gridCol w:w="993"/>
        <w:gridCol w:w="992"/>
      </w:tblGrid>
      <w:tr w:rsidR="00ED02D9" w:rsidRPr="00ED02D9" w:rsidTr="003B62D6">
        <w:tc>
          <w:tcPr>
            <w:tcW w:w="2410" w:type="dxa"/>
          </w:tcPr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ED02D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Perioada </w:t>
            </w:r>
          </w:p>
        </w:tc>
        <w:tc>
          <w:tcPr>
            <w:tcW w:w="992" w:type="dxa"/>
          </w:tcPr>
          <w:p w:rsidR="00ED02D9" w:rsidRPr="0089155B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  <w:t>04.2017</w:t>
            </w:r>
          </w:p>
        </w:tc>
        <w:tc>
          <w:tcPr>
            <w:tcW w:w="993" w:type="dxa"/>
          </w:tcPr>
          <w:p w:rsidR="00ED02D9" w:rsidRPr="0089155B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  <w:t>06.2017</w:t>
            </w:r>
          </w:p>
        </w:tc>
        <w:tc>
          <w:tcPr>
            <w:tcW w:w="992" w:type="dxa"/>
          </w:tcPr>
          <w:p w:rsidR="00ED02D9" w:rsidRPr="0089155B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  <w:t>08.2017</w:t>
            </w:r>
          </w:p>
        </w:tc>
        <w:tc>
          <w:tcPr>
            <w:tcW w:w="992" w:type="dxa"/>
          </w:tcPr>
          <w:p w:rsidR="00ED02D9" w:rsidRPr="0089155B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  <w:t>10.2017</w:t>
            </w:r>
          </w:p>
        </w:tc>
        <w:tc>
          <w:tcPr>
            <w:tcW w:w="992" w:type="dxa"/>
          </w:tcPr>
          <w:p w:rsidR="00ED02D9" w:rsidRPr="0089155B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  <w:t>12.2017</w:t>
            </w:r>
          </w:p>
        </w:tc>
        <w:tc>
          <w:tcPr>
            <w:tcW w:w="993" w:type="dxa"/>
          </w:tcPr>
          <w:p w:rsidR="00ED02D9" w:rsidRPr="0089155B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  <w:t>01.2018</w:t>
            </w:r>
          </w:p>
        </w:tc>
        <w:tc>
          <w:tcPr>
            <w:tcW w:w="992" w:type="dxa"/>
          </w:tcPr>
          <w:p w:rsidR="00ED02D9" w:rsidRPr="0089155B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Cs w:val="18"/>
                <w:lang w:val="en-US"/>
              </w:rPr>
              <w:t>03.2018</w:t>
            </w:r>
          </w:p>
        </w:tc>
      </w:tr>
      <w:tr w:rsidR="00ED02D9" w:rsidRPr="00ED02D9" w:rsidTr="003B62D6">
        <w:tc>
          <w:tcPr>
            <w:tcW w:w="2410" w:type="dxa"/>
          </w:tcPr>
          <w:p w:rsidR="00ED02D9" w:rsidRDefault="00ED02D9" w:rsidP="00ED02D9">
            <w:pPr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Pre</w:t>
            </w:r>
            <w:r w:rsidRPr="00ED02D9">
              <w:rPr>
                <w:rStyle w:val="Strong"/>
                <w:rFonts w:ascii="Times New Roman" w:hAnsi="Times New Roman" w:cs="Times New Roman"/>
                <w:szCs w:val="24"/>
              </w:rPr>
              <w:t>ț mediu vânzare</w:t>
            </w:r>
            <w:r w:rsidRPr="00ED02D9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ED02D9" w:rsidRPr="00ED02D9" w:rsidRDefault="00ED02D9" w:rsidP="00ED02D9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Lei/MWh</w:t>
            </w:r>
          </w:p>
        </w:tc>
        <w:tc>
          <w:tcPr>
            <w:tcW w:w="992" w:type="dxa"/>
          </w:tcPr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  <w:t>67,99</w:t>
            </w:r>
          </w:p>
        </w:tc>
        <w:tc>
          <w:tcPr>
            <w:tcW w:w="993" w:type="dxa"/>
          </w:tcPr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  <w:t>68,50</w:t>
            </w:r>
          </w:p>
        </w:tc>
        <w:tc>
          <w:tcPr>
            <w:tcW w:w="992" w:type="dxa"/>
          </w:tcPr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  <w:t>67,52</w:t>
            </w:r>
          </w:p>
        </w:tc>
        <w:tc>
          <w:tcPr>
            <w:tcW w:w="992" w:type="dxa"/>
          </w:tcPr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  <w:t>70,33</w:t>
            </w:r>
          </w:p>
        </w:tc>
        <w:tc>
          <w:tcPr>
            <w:tcW w:w="992" w:type="dxa"/>
          </w:tcPr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  <w:t>71,11</w:t>
            </w:r>
          </w:p>
        </w:tc>
        <w:tc>
          <w:tcPr>
            <w:tcW w:w="993" w:type="dxa"/>
          </w:tcPr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  <w:t>73,59</w:t>
            </w:r>
          </w:p>
        </w:tc>
        <w:tc>
          <w:tcPr>
            <w:tcW w:w="992" w:type="dxa"/>
          </w:tcPr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ED02D9" w:rsidRPr="00ED02D9" w:rsidRDefault="00ED02D9" w:rsidP="00ED687E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ED02D9">
              <w:rPr>
                <w:rStyle w:val="Strong"/>
                <w:rFonts w:ascii="Times New Roman" w:hAnsi="Times New Roman" w:cs="Times New Roman"/>
                <w:sz w:val="24"/>
                <w:szCs w:val="18"/>
                <w:lang w:val="en-US"/>
              </w:rPr>
              <w:t>73,85</w:t>
            </w:r>
          </w:p>
        </w:tc>
      </w:tr>
    </w:tbl>
    <w:p w:rsidR="0051290C" w:rsidRPr="000662AB" w:rsidRDefault="0051290C" w:rsidP="0051290C">
      <w:pPr>
        <w:jc w:val="both"/>
        <w:rPr>
          <w:rStyle w:val="Strong"/>
          <w:rFonts w:ascii="Times New Roman" w:hAnsi="Times New Roman" w:cs="Times New Roman"/>
          <w:szCs w:val="24"/>
          <w:lang w:val="en-US"/>
        </w:rPr>
      </w:pPr>
    </w:p>
    <w:p w:rsidR="009751AB" w:rsidRDefault="009751AB" w:rsidP="004F5073">
      <w:pPr>
        <w:spacing w:after="0" w:line="240" w:lineRule="auto"/>
        <w:ind w:left="-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+8,6%</w:t>
      </w:r>
    </w:p>
    <w:p w:rsidR="0051290C" w:rsidRDefault="006645EF" w:rsidP="004F5073">
      <w:pPr>
        <w:spacing w:after="0" w:line="240" w:lineRule="auto"/>
        <w:ind w:left="-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Evoluți</w:t>
      </w:r>
      <w:r w:rsidR="00330117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prețului</w:t>
      </w:r>
      <w:r w:rsidRPr="006645EF">
        <w:rPr>
          <w:rFonts w:ascii="Times New Roman" w:eastAsia="Calibri" w:hAnsi="Times New Roman" w:cs="Times New Roman"/>
          <w:b/>
          <w:sz w:val="24"/>
          <w:szCs w:val="24"/>
        </w:rPr>
        <w:t xml:space="preserve"> de vânzare a gazelor naturale d</w:t>
      </w:r>
      <w:r w:rsidR="00FC1F8F">
        <w:rPr>
          <w:rFonts w:ascii="Times New Roman" w:eastAsia="Calibri" w:hAnsi="Times New Roman" w:cs="Times New Roman"/>
          <w:b/>
          <w:sz w:val="24"/>
          <w:szCs w:val="24"/>
        </w:rPr>
        <w:t xml:space="preserve">in producţia internă </w:t>
      </w:r>
      <w:r w:rsidR="00330117">
        <w:rPr>
          <w:rFonts w:ascii="Times New Roman" w:eastAsia="Calibri" w:hAnsi="Times New Roman" w:cs="Times New Roman"/>
          <w:b/>
          <w:sz w:val="24"/>
          <w:szCs w:val="24"/>
        </w:rPr>
        <w:t>confo</w:t>
      </w:r>
      <w:r w:rsidR="00FC1F8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330117">
        <w:rPr>
          <w:rFonts w:ascii="Times New Roman" w:eastAsia="Calibri" w:hAnsi="Times New Roman" w:cs="Times New Roman"/>
          <w:b/>
          <w:sz w:val="24"/>
          <w:szCs w:val="24"/>
        </w:rPr>
        <w:t xml:space="preserve">m contractelor încheiate pe piața centralizată, cu livrare </w:t>
      </w:r>
      <w:r w:rsidR="00E7190C">
        <w:rPr>
          <w:rFonts w:ascii="Times New Roman" w:eastAsia="Calibri" w:hAnsi="Times New Roman" w:cs="Times New Roman"/>
          <w:b/>
          <w:sz w:val="24"/>
          <w:szCs w:val="24"/>
        </w:rPr>
        <w:t>în perioada august 2018</w:t>
      </w:r>
      <w:r w:rsidR="003B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19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3B62D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7190C">
        <w:rPr>
          <w:rFonts w:ascii="Times New Roman" w:eastAsia="Calibri" w:hAnsi="Times New Roman" w:cs="Times New Roman"/>
          <w:b/>
          <w:sz w:val="24"/>
          <w:szCs w:val="24"/>
        </w:rPr>
        <w:t>martie 2019</w:t>
      </w:r>
      <w:r w:rsidR="004F5073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07DF" w:rsidRPr="0089155B" w:rsidRDefault="004707DF" w:rsidP="004F5073">
      <w:pPr>
        <w:spacing w:after="0" w:line="240" w:lineRule="auto"/>
        <w:ind w:left="-6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0"/>
        <w:tblW w:w="9209" w:type="dxa"/>
        <w:tblLayout w:type="fixed"/>
        <w:tblLook w:val="04A0"/>
      </w:tblPr>
      <w:tblGrid>
        <w:gridCol w:w="1980"/>
        <w:gridCol w:w="1701"/>
        <w:gridCol w:w="1134"/>
        <w:gridCol w:w="1417"/>
        <w:gridCol w:w="1560"/>
        <w:gridCol w:w="1417"/>
      </w:tblGrid>
      <w:tr w:rsidR="004E4C77" w:rsidRPr="004E4C77" w:rsidTr="004E4C77">
        <w:tc>
          <w:tcPr>
            <w:tcW w:w="1980" w:type="dxa"/>
          </w:tcPr>
          <w:p w:rsidR="004E4C77" w:rsidRPr="004E4C77" w:rsidRDefault="004E4C77" w:rsidP="004E4C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C77">
              <w:rPr>
                <w:rFonts w:ascii="Times New Roman" w:hAnsi="Times New Roman"/>
                <w:b/>
                <w:sz w:val="24"/>
                <w:szCs w:val="24"/>
              </w:rPr>
              <w:t xml:space="preserve">Perioada </w:t>
            </w:r>
          </w:p>
          <w:p w:rsidR="004E4C77" w:rsidRPr="004E4C77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C77" w:rsidRPr="0089155B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08.2018</w:t>
            </w:r>
          </w:p>
        </w:tc>
        <w:tc>
          <w:tcPr>
            <w:tcW w:w="1134" w:type="dxa"/>
          </w:tcPr>
          <w:p w:rsidR="004E4C77" w:rsidRPr="0089155B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10.2018</w:t>
            </w:r>
          </w:p>
        </w:tc>
        <w:tc>
          <w:tcPr>
            <w:tcW w:w="1417" w:type="dxa"/>
          </w:tcPr>
          <w:p w:rsidR="004E4C77" w:rsidRPr="0089155B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12.2018</w:t>
            </w:r>
          </w:p>
        </w:tc>
        <w:tc>
          <w:tcPr>
            <w:tcW w:w="1560" w:type="dxa"/>
          </w:tcPr>
          <w:p w:rsidR="004E4C77" w:rsidRPr="0089155B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01.2019</w:t>
            </w:r>
          </w:p>
        </w:tc>
        <w:tc>
          <w:tcPr>
            <w:tcW w:w="1417" w:type="dxa"/>
          </w:tcPr>
          <w:p w:rsidR="004E4C77" w:rsidRPr="0089155B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89155B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03.2019</w:t>
            </w:r>
          </w:p>
        </w:tc>
      </w:tr>
      <w:tr w:rsidR="004E4C77" w:rsidRPr="004E4C77" w:rsidTr="004E4C77">
        <w:tc>
          <w:tcPr>
            <w:tcW w:w="1980" w:type="dxa"/>
          </w:tcPr>
          <w:p w:rsidR="004E4C77" w:rsidRPr="004E4C77" w:rsidRDefault="0090709F" w:rsidP="004E4C77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Preţ </w:t>
            </w:r>
            <w:r w:rsidR="00C82796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4E4C77" w:rsidRPr="004E4C77">
              <w:rPr>
                <w:rFonts w:ascii="Times New Roman" w:hAnsi="Times New Roman"/>
                <w:b/>
                <w:sz w:val="24"/>
                <w:szCs w:val="24"/>
              </w:rPr>
              <w:t>ei/MWh</w:t>
            </w:r>
          </w:p>
        </w:tc>
        <w:tc>
          <w:tcPr>
            <w:tcW w:w="1701" w:type="dxa"/>
          </w:tcPr>
          <w:p w:rsidR="004E4C77" w:rsidRPr="004E4C77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C77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77,72</w:t>
            </w:r>
          </w:p>
        </w:tc>
        <w:tc>
          <w:tcPr>
            <w:tcW w:w="1134" w:type="dxa"/>
          </w:tcPr>
          <w:p w:rsidR="004E4C77" w:rsidRPr="004E4C77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C77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79,57</w:t>
            </w:r>
          </w:p>
        </w:tc>
        <w:tc>
          <w:tcPr>
            <w:tcW w:w="1417" w:type="dxa"/>
          </w:tcPr>
          <w:p w:rsidR="004E4C77" w:rsidRPr="004E4C77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C77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79,97</w:t>
            </w:r>
          </w:p>
        </w:tc>
        <w:tc>
          <w:tcPr>
            <w:tcW w:w="1560" w:type="dxa"/>
          </w:tcPr>
          <w:p w:rsidR="004E4C77" w:rsidRPr="004E4C77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C77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80,21</w:t>
            </w:r>
          </w:p>
        </w:tc>
        <w:tc>
          <w:tcPr>
            <w:tcW w:w="1417" w:type="dxa"/>
          </w:tcPr>
          <w:p w:rsidR="004E4C77" w:rsidRPr="004E4C77" w:rsidRDefault="004E4C77" w:rsidP="004E4C77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C77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80,25</w:t>
            </w:r>
          </w:p>
        </w:tc>
      </w:tr>
    </w:tbl>
    <w:p w:rsidR="0051290C" w:rsidRPr="004E4C77" w:rsidRDefault="0051290C" w:rsidP="00512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62D6" w:rsidRDefault="003B62D6" w:rsidP="008C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4DC">
        <w:rPr>
          <w:rFonts w:ascii="Times New Roman" w:hAnsi="Times New Roman"/>
          <w:sz w:val="24"/>
          <w:szCs w:val="24"/>
        </w:rPr>
        <w:t xml:space="preserve">Cumulat, </w:t>
      </w:r>
      <w:r w:rsidR="00FC1F8F" w:rsidRPr="00CA44DC">
        <w:rPr>
          <w:rFonts w:ascii="Times New Roman" w:hAnsi="Times New Roman"/>
          <w:sz w:val="24"/>
          <w:szCs w:val="24"/>
        </w:rPr>
        <w:t>procentul de creştere a preţurilor la gazele naturale din producţia internă a fost</w:t>
      </w:r>
      <w:r w:rsidR="0002260D">
        <w:rPr>
          <w:rFonts w:ascii="Times New Roman" w:hAnsi="Times New Roman"/>
          <w:sz w:val="24"/>
          <w:szCs w:val="24"/>
        </w:rPr>
        <w:t>,</w:t>
      </w:r>
      <w:r w:rsidR="00FC1F8F" w:rsidRPr="00CA44DC">
        <w:rPr>
          <w:rFonts w:ascii="Times New Roman" w:hAnsi="Times New Roman"/>
          <w:sz w:val="24"/>
          <w:szCs w:val="24"/>
        </w:rPr>
        <w:t xml:space="preserve"> </w:t>
      </w:r>
      <w:r w:rsidR="0002260D" w:rsidRPr="00CA44DC">
        <w:rPr>
          <w:rFonts w:ascii="Times New Roman" w:hAnsi="Times New Roman"/>
          <w:sz w:val="24"/>
          <w:szCs w:val="24"/>
        </w:rPr>
        <w:t xml:space="preserve">în perioada </w:t>
      </w:r>
      <w:r w:rsidR="0002260D" w:rsidRPr="0002260D">
        <w:rPr>
          <w:rFonts w:ascii="Times New Roman" w:hAnsi="Times New Roman"/>
          <w:sz w:val="24"/>
          <w:szCs w:val="24"/>
        </w:rPr>
        <w:t xml:space="preserve">ianuarie 2013 </w:t>
      </w:r>
      <w:r w:rsidR="0002260D" w:rsidRPr="0002260D">
        <w:rPr>
          <w:rFonts w:ascii="Times New Roman" w:hAnsi="Times New Roman"/>
          <w:sz w:val="24"/>
          <w:szCs w:val="24"/>
          <w:lang w:val="en-US"/>
        </w:rPr>
        <w:t>–</w:t>
      </w:r>
      <w:r w:rsidR="0002260D" w:rsidRPr="0002260D">
        <w:rPr>
          <w:rFonts w:ascii="Times New Roman" w:hAnsi="Times New Roman"/>
          <w:sz w:val="24"/>
          <w:szCs w:val="24"/>
        </w:rPr>
        <w:t xml:space="preserve"> martie 2019,</w:t>
      </w:r>
      <w:r w:rsidR="0002260D">
        <w:rPr>
          <w:rFonts w:ascii="Times New Roman" w:hAnsi="Times New Roman"/>
          <w:b/>
          <w:sz w:val="24"/>
          <w:szCs w:val="24"/>
        </w:rPr>
        <w:t xml:space="preserve"> </w:t>
      </w:r>
      <w:r w:rsidR="00FC1F8F" w:rsidRPr="00CA44DC">
        <w:rPr>
          <w:rFonts w:ascii="Times New Roman" w:hAnsi="Times New Roman"/>
          <w:sz w:val="24"/>
          <w:szCs w:val="24"/>
        </w:rPr>
        <w:t>de</w:t>
      </w:r>
      <w:r w:rsidR="00FC1F8F" w:rsidRPr="003B62D6">
        <w:rPr>
          <w:rFonts w:ascii="Times New Roman" w:hAnsi="Times New Roman"/>
          <w:sz w:val="24"/>
          <w:szCs w:val="24"/>
        </w:rPr>
        <w:t xml:space="preserve"> </w:t>
      </w:r>
      <w:r w:rsidR="00FC1F8F" w:rsidRPr="00FC1F8F">
        <w:rPr>
          <w:rFonts w:ascii="Times New Roman" w:hAnsi="Times New Roman"/>
          <w:b/>
          <w:sz w:val="24"/>
          <w:szCs w:val="24"/>
        </w:rPr>
        <w:t>75,56%</w:t>
      </w:r>
      <w:r w:rsidR="00E475A3">
        <w:rPr>
          <w:rFonts w:ascii="Times New Roman" w:hAnsi="Times New Roman"/>
          <w:sz w:val="24"/>
          <w:szCs w:val="24"/>
        </w:rPr>
        <w:t>, cu mențiunea că ANRE nu a avut și nu are competențe în stabilirea nivelului acestor prețuri.</w:t>
      </w:r>
    </w:p>
    <w:p w:rsidR="004707DF" w:rsidRDefault="004707DF" w:rsidP="008C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4A4" w:rsidRDefault="005964A4" w:rsidP="004707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7DF" w:rsidRPr="004707DF" w:rsidRDefault="009F0C2F" w:rsidP="004707DF">
      <w:pPr>
        <w:spacing w:after="0" w:line="240" w:lineRule="auto"/>
        <w:jc w:val="both"/>
        <w:rPr>
          <w:rStyle w:val="Strong"/>
          <w:rFonts w:cs="Times New Roman"/>
          <w:b w:val="0"/>
        </w:rPr>
      </w:pPr>
      <w:r w:rsidRPr="008C1832">
        <w:rPr>
          <w:rFonts w:ascii="Times New Roman" w:hAnsi="Times New Roman" w:cs="Times New Roman"/>
          <w:bCs/>
          <w:sz w:val="24"/>
          <w:szCs w:val="24"/>
        </w:rPr>
        <w:t xml:space="preserve">De asemenea, pe lângă gazele naturale din producția internă, anual, România importă o cantitate de gaze naturale 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în vederea </w:t>
      </w:r>
      <w:r w:rsidRPr="008C1832">
        <w:rPr>
          <w:rFonts w:ascii="Times New Roman" w:hAnsi="Times New Roman" w:cs="Times New Roman"/>
          <w:bCs/>
          <w:sz w:val="24"/>
          <w:szCs w:val="24"/>
        </w:rPr>
        <w:t>acoperirii necesarului de consum estimat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pentru perioada sezonului rece</w:t>
      </w:r>
      <w:r w:rsidR="004707D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5964A4" w:rsidRDefault="005964A4" w:rsidP="008C3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895" w:rsidRDefault="008C3E83" w:rsidP="008C3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E83">
        <w:rPr>
          <w:rFonts w:ascii="Times New Roman" w:hAnsi="Times New Roman"/>
          <w:b/>
          <w:sz w:val="24"/>
          <w:szCs w:val="24"/>
        </w:rPr>
        <w:t>Evoluția prețul</w:t>
      </w:r>
      <w:r w:rsidR="002B7287">
        <w:rPr>
          <w:rFonts w:ascii="Times New Roman" w:hAnsi="Times New Roman"/>
          <w:b/>
          <w:sz w:val="24"/>
          <w:szCs w:val="24"/>
        </w:rPr>
        <w:t>ui</w:t>
      </w:r>
      <w:r w:rsidRPr="008C3E83">
        <w:rPr>
          <w:rFonts w:ascii="Times New Roman" w:hAnsi="Times New Roman"/>
          <w:b/>
          <w:sz w:val="24"/>
          <w:szCs w:val="24"/>
        </w:rPr>
        <w:t xml:space="preserve"> gazelor naturale din import stabilit pe piața concurențială</w:t>
      </w:r>
      <w:r w:rsidR="0051290C">
        <w:rPr>
          <w:rFonts w:ascii="Times New Roman" w:hAnsi="Times New Roman"/>
          <w:b/>
          <w:sz w:val="24"/>
          <w:szCs w:val="24"/>
        </w:rPr>
        <w:t>:</w:t>
      </w:r>
      <w:r w:rsidRPr="008C3E8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3"/>
        <w:tblW w:w="9209" w:type="dxa"/>
        <w:tblLayout w:type="fixed"/>
        <w:tblLook w:val="04A0"/>
      </w:tblPr>
      <w:tblGrid>
        <w:gridCol w:w="4106"/>
        <w:gridCol w:w="1276"/>
        <w:gridCol w:w="1276"/>
        <w:gridCol w:w="1275"/>
        <w:gridCol w:w="1276"/>
      </w:tblGrid>
      <w:tr w:rsidR="0089155B" w:rsidRPr="004E4C77" w:rsidTr="0090709F">
        <w:tc>
          <w:tcPr>
            <w:tcW w:w="4106" w:type="dxa"/>
          </w:tcPr>
          <w:p w:rsidR="0089155B" w:rsidRPr="004E4C77" w:rsidRDefault="0089155B" w:rsidP="008915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C77">
              <w:rPr>
                <w:rFonts w:ascii="Times New Roman" w:hAnsi="Times New Roman"/>
                <w:b/>
                <w:sz w:val="24"/>
                <w:szCs w:val="24"/>
              </w:rPr>
              <w:t xml:space="preserve">Perioada </w:t>
            </w:r>
          </w:p>
          <w:p w:rsidR="0089155B" w:rsidRPr="004E4C77" w:rsidRDefault="0089155B" w:rsidP="0089155B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55B" w:rsidRPr="0089155B" w:rsidRDefault="0089155B" w:rsidP="0089155B">
            <w:pPr>
              <w:jc w:val="both"/>
              <w:rPr>
                <w:rStyle w:val="Strong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1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04.2017</w:t>
            </w:r>
          </w:p>
        </w:tc>
        <w:tc>
          <w:tcPr>
            <w:tcW w:w="1276" w:type="dxa"/>
          </w:tcPr>
          <w:p w:rsidR="0089155B" w:rsidRPr="0089155B" w:rsidRDefault="0089155B" w:rsidP="0089155B">
            <w:pPr>
              <w:jc w:val="both"/>
              <w:rPr>
                <w:rStyle w:val="Strong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1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10.2017</w:t>
            </w:r>
          </w:p>
        </w:tc>
        <w:tc>
          <w:tcPr>
            <w:tcW w:w="1275" w:type="dxa"/>
          </w:tcPr>
          <w:p w:rsidR="0089155B" w:rsidRPr="0089155B" w:rsidRDefault="0089155B" w:rsidP="0089155B">
            <w:pPr>
              <w:jc w:val="both"/>
              <w:rPr>
                <w:rStyle w:val="Strong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1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01.2018</w:t>
            </w:r>
          </w:p>
        </w:tc>
        <w:tc>
          <w:tcPr>
            <w:tcW w:w="1276" w:type="dxa"/>
          </w:tcPr>
          <w:p w:rsidR="0089155B" w:rsidRPr="0089155B" w:rsidRDefault="0089155B" w:rsidP="0089155B">
            <w:pPr>
              <w:jc w:val="both"/>
              <w:rPr>
                <w:rStyle w:val="Strong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1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03.2018</w:t>
            </w:r>
          </w:p>
        </w:tc>
      </w:tr>
      <w:tr w:rsidR="0089155B" w:rsidRPr="004E4C77" w:rsidTr="0090709F">
        <w:tc>
          <w:tcPr>
            <w:tcW w:w="4106" w:type="dxa"/>
          </w:tcPr>
          <w:p w:rsidR="0089155B" w:rsidRPr="0089155B" w:rsidRDefault="0090709F" w:rsidP="00907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Preț </w:t>
            </w:r>
            <w:r w:rsidR="00BD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import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- L</w:t>
            </w:r>
            <w:r w:rsidR="0089155B" w:rsidRPr="0089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ei/MWh</w:t>
            </w:r>
          </w:p>
          <w:p w:rsidR="0089155B" w:rsidRPr="0089155B" w:rsidRDefault="0089155B" w:rsidP="0089155B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9155B" w:rsidRPr="004E4C77" w:rsidRDefault="0090709F" w:rsidP="0089155B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80,</w:t>
            </w:r>
            <w:r w:rsidR="0089155B" w:rsidRPr="0029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276" w:type="dxa"/>
          </w:tcPr>
          <w:p w:rsidR="0089155B" w:rsidRPr="004E4C77" w:rsidRDefault="0090709F" w:rsidP="0089155B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79,</w:t>
            </w:r>
            <w:r w:rsidR="0089155B" w:rsidRPr="0029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275" w:type="dxa"/>
          </w:tcPr>
          <w:p w:rsidR="0089155B" w:rsidRPr="004E4C77" w:rsidRDefault="0090709F" w:rsidP="0089155B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91,</w:t>
            </w:r>
            <w:r w:rsidR="0089155B" w:rsidRPr="0029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02</w:t>
            </w:r>
          </w:p>
        </w:tc>
        <w:tc>
          <w:tcPr>
            <w:tcW w:w="1276" w:type="dxa"/>
          </w:tcPr>
          <w:p w:rsidR="0089155B" w:rsidRPr="004E4C77" w:rsidRDefault="0090709F" w:rsidP="0089155B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94,</w:t>
            </w:r>
            <w:r w:rsidR="0089155B" w:rsidRPr="0029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</w:tr>
    </w:tbl>
    <w:p w:rsidR="00797005" w:rsidRDefault="00797005" w:rsidP="008C3E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1E7895" w:rsidRPr="008C1832" w:rsidRDefault="001E7895" w:rsidP="001E7895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>Potrivit prevederilor legale, autoritatea de reglementare are obligația să stabilească prețul la gazele naturale la consumatorii casnici în baza achiziției gazelor naturale făcute de furnizori di</w:t>
      </w:r>
      <w:r w:rsidR="0090709F">
        <w:rPr>
          <w:rStyle w:val="Strong"/>
          <w:rFonts w:ascii="Times New Roman" w:hAnsi="Times New Roman" w:cs="Times New Roman"/>
          <w:b w:val="0"/>
          <w:sz w:val="24"/>
          <w:szCs w:val="24"/>
        </w:rPr>
        <w:t>n piețele centralizate, la care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se adaugă tarifele de transport, de distribuție, de înmagazi</w:t>
      </w:r>
      <w:r w:rsidR="0076413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nare și de furnizare, care sunt, în continuare, 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reglementate de ANRE. </w:t>
      </w:r>
    </w:p>
    <w:p w:rsidR="001E7895" w:rsidRDefault="00BC4DAC" w:rsidP="001E7895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Prezentăm, mai jos, 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>evoluți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tarifelor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reglementate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î</w:t>
      </w:r>
      <w:r w:rsidR="001E7895"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>n perioada 2017 –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7895"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>2018</w:t>
      </w:r>
      <w:r w:rsidR="001E7895" w:rsidRPr="008C183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:rsidR="0076413B" w:rsidRDefault="0076413B" w:rsidP="0076413B">
      <w:pPr>
        <w:rPr>
          <w:rFonts w:ascii="Times New Roman" w:hAnsi="Times New Roman" w:cs="Times New Roman"/>
          <w:sz w:val="24"/>
          <w:szCs w:val="24"/>
        </w:rPr>
      </w:pPr>
      <w:r w:rsidRPr="007609B3">
        <w:rPr>
          <w:rFonts w:ascii="Times New Roman" w:hAnsi="Times New Roman" w:cs="Times New Roman"/>
          <w:sz w:val="24"/>
          <w:szCs w:val="24"/>
        </w:rPr>
        <w:t xml:space="preserve">Tarif unitar mediu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609B3">
        <w:rPr>
          <w:rFonts w:ascii="Times New Roman" w:hAnsi="Times New Roman" w:cs="Times New Roman"/>
          <w:sz w:val="24"/>
          <w:szCs w:val="24"/>
        </w:rPr>
        <w:t>alabil la data de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930" w:type="dxa"/>
        <w:tblInd w:w="137" w:type="dxa"/>
        <w:tblLook w:val="04A0"/>
      </w:tblPr>
      <w:tblGrid>
        <w:gridCol w:w="1760"/>
        <w:gridCol w:w="1710"/>
        <w:gridCol w:w="1882"/>
        <w:gridCol w:w="2110"/>
        <w:gridCol w:w="1468"/>
      </w:tblGrid>
      <w:tr w:rsidR="00056A56" w:rsidTr="00056A56">
        <w:tc>
          <w:tcPr>
            <w:tcW w:w="1760" w:type="dxa"/>
          </w:tcPr>
          <w:p w:rsidR="00056A56" w:rsidRPr="0076413B" w:rsidRDefault="00056A56" w:rsidP="00CB4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3B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1710" w:type="dxa"/>
          </w:tcPr>
          <w:p w:rsidR="00056A56" w:rsidRPr="004477D0" w:rsidRDefault="00056A56" w:rsidP="00CB465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01.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04</w:t>
            </w: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 xml:space="preserve">.2017 </w:t>
            </w:r>
          </w:p>
          <w:p w:rsidR="00056A56" w:rsidRPr="004477D0" w:rsidRDefault="00056A56" w:rsidP="00CB465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lei/MWh</w:t>
            </w:r>
          </w:p>
        </w:tc>
        <w:tc>
          <w:tcPr>
            <w:tcW w:w="1882" w:type="dxa"/>
          </w:tcPr>
          <w:p w:rsidR="00056A56" w:rsidRPr="004477D0" w:rsidRDefault="00056A56" w:rsidP="00CB465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 xml:space="preserve">01.11.2017 </w:t>
            </w:r>
          </w:p>
          <w:p w:rsidR="00056A56" w:rsidRPr="004477D0" w:rsidRDefault="00056A56" w:rsidP="00CB465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lei/MWh</w:t>
            </w:r>
          </w:p>
        </w:tc>
        <w:tc>
          <w:tcPr>
            <w:tcW w:w="2110" w:type="dxa"/>
          </w:tcPr>
          <w:p w:rsidR="00056A56" w:rsidRPr="004477D0" w:rsidRDefault="00056A56" w:rsidP="00CB465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 xml:space="preserve">01.07.2018  </w:t>
            </w:r>
          </w:p>
          <w:p w:rsidR="00056A56" w:rsidRPr="004477D0" w:rsidRDefault="00056A56" w:rsidP="00CB465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lei/MWh</w:t>
            </w:r>
          </w:p>
        </w:tc>
        <w:tc>
          <w:tcPr>
            <w:tcW w:w="1468" w:type="dxa"/>
          </w:tcPr>
          <w:p w:rsidR="00056A56" w:rsidRDefault="00056A56" w:rsidP="00CB465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2017/2018</w:t>
            </w:r>
          </w:p>
          <w:p w:rsidR="00443370" w:rsidRPr="004477D0" w:rsidRDefault="00443370" w:rsidP="00CB465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lei/MWh</w:t>
            </w:r>
          </w:p>
        </w:tc>
      </w:tr>
      <w:tr w:rsidR="00056A56" w:rsidTr="00056A56">
        <w:tc>
          <w:tcPr>
            <w:tcW w:w="1760" w:type="dxa"/>
          </w:tcPr>
          <w:p w:rsidR="00056A56" w:rsidRPr="007609B3" w:rsidRDefault="00056A56" w:rsidP="00CB46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9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Transport</w:t>
            </w:r>
          </w:p>
          <w:p w:rsidR="00056A56" w:rsidRPr="007609B3" w:rsidRDefault="00056A56" w:rsidP="00C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56A56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8</w:t>
            </w: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  <w:p w:rsidR="00056A56" w:rsidRPr="007609B3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82" w:type="dxa"/>
          </w:tcPr>
          <w:p w:rsidR="00056A56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6,98</w:t>
            </w:r>
          </w:p>
          <w:p w:rsidR="00056A56" w:rsidRPr="007609B3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</w:tcPr>
          <w:p w:rsidR="00056A56" w:rsidRDefault="0090709F" w:rsidP="009070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6A56" w:rsidRPr="0059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6,57</w:t>
            </w:r>
          </w:p>
          <w:p w:rsidR="00056A56" w:rsidRPr="007609B3" w:rsidRDefault="00056A56" w:rsidP="00C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6A56" w:rsidRPr="00592E76" w:rsidRDefault="00056A56" w:rsidP="00CB46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-26,10%</w:t>
            </w:r>
          </w:p>
        </w:tc>
      </w:tr>
      <w:tr w:rsidR="00056A56" w:rsidTr="00056A56">
        <w:tc>
          <w:tcPr>
            <w:tcW w:w="1760" w:type="dxa"/>
          </w:tcPr>
          <w:p w:rsidR="00056A56" w:rsidRPr="007609B3" w:rsidRDefault="0090709F" w:rsidP="00CB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56A56" w:rsidRPr="007609B3">
              <w:rPr>
                <w:rFonts w:ascii="Times New Roman" w:hAnsi="Times New Roman" w:cs="Times New Roman"/>
                <w:sz w:val="24"/>
                <w:szCs w:val="24"/>
              </w:rPr>
              <w:t>nmagazinare</w:t>
            </w:r>
          </w:p>
        </w:tc>
        <w:tc>
          <w:tcPr>
            <w:tcW w:w="1710" w:type="dxa"/>
          </w:tcPr>
          <w:p w:rsidR="00056A56" w:rsidRPr="007609B3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17,14 </w:t>
            </w:r>
          </w:p>
        </w:tc>
        <w:tc>
          <w:tcPr>
            <w:tcW w:w="1882" w:type="dxa"/>
          </w:tcPr>
          <w:p w:rsidR="00056A56" w:rsidRPr="007609B3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17,14 </w:t>
            </w:r>
          </w:p>
        </w:tc>
        <w:tc>
          <w:tcPr>
            <w:tcW w:w="2110" w:type="dxa"/>
          </w:tcPr>
          <w:p w:rsidR="00056A56" w:rsidRPr="007609B3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3,13 </w:t>
            </w:r>
          </w:p>
          <w:p w:rsidR="00056A56" w:rsidRPr="007609B3" w:rsidRDefault="00056A56" w:rsidP="00C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6A56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-23,42%</w:t>
            </w:r>
          </w:p>
        </w:tc>
      </w:tr>
      <w:tr w:rsidR="00056A56" w:rsidTr="00056A56">
        <w:tc>
          <w:tcPr>
            <w:tcW w:w="1760" w:type="dxa"/>
          </w:tcPr>
          <w:p w:rsidR="00056A56" w:rsidRPr="007609B3" w:rsidRDefault="0090709F" w:rsidP="00CB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Distribuț</w:t>
            </w:r>
            <w:r w:rsidR="00056A56" w:rsidRPr="007609B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1710" w:type="dxa"/>
          </w:tcPr>
          <w:p w:rsidR="00056A56" w:rsidRPr="007609B3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27,12</w:t>
            </w: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56A56" w:rsidRPr="007609B3" w:rsidRDefault="00056A56" w:rsidP="00C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56A56" w:rsidRPr="007609B3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26,99 </w:t>
            </w:r>
          </w:p>
          <w:p w:rsidR="00056A56" w:rsidRPr="007609B3" w:rsidRDefault="00056A56" w:rsidP="00C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56A56" w:rsidRPr="007609B3" w:rsidRDefault="00056A56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0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27,31 </w:t>
            </w:r>
          </w:p>
          <w:p w:rsidR="00056A56" w:rsidRPr="007609B3" w:rsidRDefault="00056A56" w:rsidP="00CB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6A56" w:rsidRDefault="0090709F" w:rsidP="00CB4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56A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0,70%</w:t>
            </w:r>
          </w:p>
        </w:tc>
      </w:tr>
    </w:tbl>
    <w:p w:rsidR="005E18B2" w:rsidRDefault="005E18B2"/>
    <w:p w:rsidR="0076413B" w:rsidRPr="0064776A" w:rsidRDefault="0076413B" w:rsidP="007641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709F">
        <w:rPr>
          <w:rFonts w:ascii="Times New Roman" w:hAnsi="Times New Roman" w:cs="Times New Roman"/>
          <w:sz w:val="24"/>
          <w:szCs w:val="24"/>
        </w:rPr>
        <w:t>aloare medie ponderată</w:t>
      </w:r>
      <w:r>
        <w:rPr>
          <w:rFonts w:ascii="Times New Roman" w:hAnsi="Times New Roman" w:cs="Times New Roman"/>
          <w:sz w:val="24"/>
          <w:szCs w:val="24"/>
        </w:rPr>
        <w:t xml:space="preserve"> reprezentativă </w:t>
      </w:r>
      <w:r w:rsidR="00290F83">
        <w:rPr>
          <w:rFonts w:ascii="Times New Roman" w:hAnsi="Times New Roman" w:cs="Times New Roman"/>
          <w:sz w:val="24"/>
          <w:szCs w:val="24"/>
        </w:rPr>
        <w:t xml:space="preserve">a costului de furnizare </w:t>
      </w:r>
      <w:r>
        <w:rPr>
          <w:rFonts w:ascii="Times New Roman" w:hAnsi="Times New Roman" w:cs="Times New Roman"/>
          <w:sz w:val="24"/>
          <w:szCs w:val="24"/>
        </w:rPr>
        <w:t>pentru întreaga piață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37" w:type="dxa"/>
        <w:tblLook w:val="04A0"/>
      </w:tblPr>
      <w:tblGrid>
        <w:gridCol w:w="1843"/>
        <w:gridCol w:w="2115"/>
        <w:gridCol w:w="2421"/>
        <w:gridCol w:w="2551"/>
      </w:tblGrid>
      <w:tr w:rsidR="00297754" w:rsidTr="00056A56">
        <w:trPr>
          <w:trHeight w:val="278"/>
        </w:trPr>
        <w:tc>
          <w:tcPr>
            <w:tcW w:w="1843" w:type="dxa"/>
          </w:tcPr>
          <w:p w:rsidR="0064776A" w:rsidRPr="0076413B" w:rsidRDefault="005E18B2" w:rsidP="0064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Perioada </w:t>
            </w:r>
          </w:p>
        </w:tc>
        <w:tc>
          <w:tcPr>
            <w:tcW w:w="2115" w:type="dxa"/>
          </w:tcPr>
          <w:p w:rsidR="004477D0" w:rsidRDefault="00297754" w:rsidP="004477D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01.04.2017</w:t>
            </w:r>
            <w:r w:rsidR="0064776A"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 xml:space="preserve"> </w:t>
            </w:r>
          </w:p>
          <w:p w:rsidR="00297754" w:rsidRPr="004477D0" w:rsidRDefault="0076413B" w:rsidP="004477D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l</w:t>
            </w:r>
            <w:r w:rsidR="00297754"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ei/MWh</w:t>
            </w:r>
          </w:p>
        </w:tc>
        <w:tc>
          <w:tcPr>
            <w:tcW w:w="2421" w:type="dxa"/>
          </w:tcPr>
          <w:p w:rsidR="0064776A" w:rsidRPr="004477D0" w:rsidRDefault="005E18B2" w:rsidP="005E18B2">
            <w:pPr>
              <w:pStyle w:val="ListParagraph"/>
              <w:numPr>
                <w:ilvl w:val="2"/>
                <w:numId w:val="10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 xml:space="preserve"> </w:t>
            </w:r>
            <w:r w:rsidR="0064776A"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 xml:space="preserve"> </w:t>
            </w:r>
          </w:p>
          <w:p w:rsidR="00297754" w:rsidRPr="004477D0" w:rsidRDefault="00297754" w:rsidP="0064776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</w:pPr>
            <w:r w:rsidRPr="004477D0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en-GB"/>
              </w:rPr>
              <w:t>lei/MWh</w:t>
            </w:r>
          </w:p>
        </w:tc>
        <w:tc>
          <w:tcPr>
            <w:tcW w:w="2551" w:type="dxa"/>
          </w:tcPr>
          <w:p w:rsidR="00297754" w:rsidRPr="004477D0" w:rsidRDefault="0076413B" w:rsidP="0076413B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477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297754" w:rsidTr="00056A56">
        <w:trPr>
          <w:trHeight w:val="277"/>
        </w:trPr>
        <w:tc>
          <w:tcPr>
            <w:tcW w:w="1843" w:type="dxa"/>
          </w:tcPr>
          <w:p w:rsidR="00297754" w:rsidRDefault="005E18B2" w:rsidP="0083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</w:p>
        </w:tc>
        <w:tc>
          <w:tcPr>
            <w:tcW w:w="2115" w:type="dxa"/>
          </w:tcPr>
          <w:p w:rsidR="00297754" w:rsidRDefault="00297754" w:rsidP="002977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2421" w:type="dxa"/>
          </w:tcPr>
          <w:p w:rsidR="005E18B2" w:rsidRDefault="00297754" w:rsidP="005E18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4,49</w:t>
            </w:r>
            <w:r w:rsidR="005E1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97754" w:rsidRDefault="0076413B" w:rsidP="008307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7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77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</w:tbl>
    <w:p w:rsidR="001E7895" w:rsidRDefault="001E7895" w:rsidP="001E7895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1E7895" w:rsidRPr="008C1832" w:rsidRDefault="001E7895" w:rsidP="001E7895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Având în vedere </w:t>
      </w:r>
      <w:r w:rsidR="008C1832"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solicitările furnizorilor de gaze naturale și </w:t>
      </w:r>
      <w:r w:rsidR="008C1832" w:rsidRPr="0076413B">
        <w:rPr>
          <w:rStyle w:val="Strong"/>
          <w:rFonts w:ascii="Times New Roman" w:hAnsi="Times New Roman" w:cs="Times New Roman"/>
          <w:sz w:val="24"/>
          <w:szCs w:val="24"/>
        </w:rPr>
        <w:t xml:space="preserve">în urma </w:t>
      </w:r>
      <w:r w:rsidRPr="0076413B">
        <w:rPr>
          <w:rStyle w:val="Strong"/>
          <w:rFonts w:ascii="Times New Roman" w:hAnsi="Times New Roman" w:cs="Times New Roman"/>
          <w:sz w:val="24"/>
          <w:szCs w:val="24"/>
        </w:rPr>
        <w:t xml:space="preserve">analizei </w:t>
      </w:r>
      <w:r w:rsidR="008C1832" w:rsidRPr="0076413B">
        <w:rPr>
          <w:rStyle w:val="Strong"/>
          <w:rFonts w:ascii="Times New Roman" w:hAnsi="Times New Roman" w:cs="Times New Roman"/>
          <w:sz w:val="24"/>
          <w:szCs w:val="24"/>
        </w:rPr>
        <w:t>minuțioase a costurilor reflectate în prețul final</w:t>
      </w:r>
      <w:r w:rsidR="008C1832"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9727E">
        <w:rPr>
          <w:rStyle w:val="Strong"/>
          <w:rFonts w:ascii="Times New Roman" w:hAnsi="Times New Roman" w:cs="Times New Roman"/>
          <w:b w:val="0"/>
          <w:sz w:val="24"/>
          <w:szCs w:val="24"/>
        </w:rPr>
        <w:t>Comitetul de reglementare, aplicând prevederile legale, a constatat că sunt îndeplini</w:t>
      </w:r>
      <w:r w:rsidR="00725922">
        <w:rPr>
          <w:rStyle w:val="Strong"/>
          <w:rFonts w:ascii="Times New Roman" w:hAnsi="Times New Roman" w:cs="Times New Roman"/>
          <w:b w:val="0"/>
          <w:sz w:val="24"/>
          <w:szCs w:val="24"/>
        </w:rPr>
        <w:t>te condițiile pentru o ajustare,</w:t>
      </w:r>
      <w:r w:rsidR="009972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0F8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în medie </w:t>
      </w:r>
      <w:r w:rsidR="00B555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cu </w:t>
      </w:r>
      <w:r w:rsidR="00443370" w:rsidRPr="00443370">
        <w:rPr>
          <w:rStyle w:val="Strong"/>
          <w:rFonts w:ascii="Times New Roman" w:hAnsi="Times New Roman" w:cs="Times New Roman"/>
          <w:sz w:val="24"/>
          <w:szCs w:val="24"/>
        </w:rPr>
        <w:t>5,83</w:t>
      </w:r>
      <w:r w:rsidR="00FC7ABB">
        <w:rPr>
          <w:rStyle w:val="Strong"/>
          <w:rFonts w:ascii="Times New Roman" w:hAnsi="Times New Roman" w:cs="Times New Roman"/>
          <w:sz w:val="24"/>
          <w:szCs w:val="24"/>
        </w:rPr>
        <w:t>%</w:t>
      </w:r>
      <w:bookmarkStart w:id="0" w:name="_GoBack"/>
      <w:bookmarkEnd w:id="0"/>
      <w:r w:rsidR="00725922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="00B555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7D7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 preţului </w:t>
      </w:r>
      <w:r w:rsidR="00E77D76"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la gazele naturale </w:t>
      </w:r>
      <w:r w:rsidR="00E77D76">
        <w:rPr>
          <w:rStyle w:val="Strong"/>
          <w:rFonts w:ascii="Times New Roman" w:hAnsi="Times New Roman" w:cs="Times New Roman"/>
          <w:b w:val="0"/>
          <w:sz w:val="24"/>
          <w:szCs w:val="24"/>
        </w:rPr>
        <w:t>pentru clienţii finali casnici</w:t>
      </w:r>
      <w:r w:rsidR="00E475A3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76413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î</w:t>
      </w:r>
      <w:r w:rsidRPr="008C1832">
        <w:rPr>
          <w:rStyle w:val="Strong"/>
          <w:rFonts w:ascii="Times New Roman" w:hAnsi="Times New Roman" w:cs="Times New Roman"/>
          <w:b w:val="0"/>
          <w:sz w:val="24"/>
          <w:szCs w:val="24"/>
        </w:rPr>
        <w:t>ncepând cu data de 1 august 2018.</w:t>
      </w:r>
    </w:p>
    <w:p w:rsidR="005964A4" w:rsidRDefault="005964A4" w:rsidP="00764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13B" w:rsidRPr="000A68FF" w:rsidRDefault="0076413B" w:rsidP="00764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FF">
        <w:rPr>
          <w:rFonts w:ascii="Times New Roman" w:hAnsi="Times New Roman" w:cs="Times New Roman"/>
          <w:i/>
          <w:sz w:val="24"/>
          <w:szCs w:val="24"/>
        </w:rPr>
        <w:t>Direcț</w:t>
      </w:r>
      <w:r w:rsidR="00A52EB2">
        <w:rPr>
          <w:rFonts w:ascii="Times New Roman" w:hAnsi="Times New Roman" w:cs="Times New Roman"/>
          <w:i/>
          <w:sz w:val="24"/>
          <w:szCs w:val="24"/>
        </w:rPr>
        <w:t>ia comunicare, cooperare și re</w:t>
      </w:r>
      <w:r w:rsidRPr="000A68FF">
        <w:rPr>
          <w:rFonts w:ascii="Times New Roman" w:hAnsi="Times New Roman" w:cs="Times New Roman"/>
          <w:i/>
          <w:sz w:val="24"/>
          <w:szCs w:val="24"/>
        </w:rPr>
        <w:t>lația cu Parlamentul</w:t>
      </w:r>
    </w:p>
    <w:p w:rsidR="0076413B" w:rsidRDefault="0076413B" w:rsidP="0076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A68FF">
        <w:rPr>
          <w:rFonts w:ascii="Times New Roman" w:hAnsi="Times New Roman" w:cs="Times New Roman"/>
          <w:i/>
          <w:sz w:val="24"/>
          <w:szCs w:val="24"/>
        </w:rPr>
        <w:t>București, 19.07.2018.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64A4" w:rsidRDefault="005964A4" w:rsidP="0076413B">
      <w:pPr>
        <w:pStyle w:val="NormalWeb"/>
        <w:ind w:left="720"/>
        <w:jc w:val="center"/>
        <w:rPr>
          <w:rFonts w:ascii="Times New Roman" w:hAnsi="Times New Roman" w:cs="Times New Roman"/>
          <w:sz w:val="24"/>
          <w:lang w:val="en-US"/>
        </w:rPr>
      </w:pPr>
    </w:p>
    <w:p w:rsidR="005964A4" w:rsidRDefault="005964A4" w:rsidP="0076413B">
      <w:pPr>
        <w:pStyle w:val="NormalWeb"/>
        <w:ind w:left="720"/>
        <w:jc w:val="center"/>
        <w:rPr>
          <w:rFonts w:ascii="Times New Roman" w:hAnsi="Times New Roman" w:cs="Times New Roman"/>
          <w:sz w:val="24"/>
          <w:lang w:val="en-US"/>
        </w:rPr>
      </w:pPr>
    </w:p>
    <w:p w:rsidR="005964A4" w:rsidRDefault="005964A4" w:rsidP="0076413B">
      <w:pPr>
        <w:pStyle w:val="NormalWeb"/>
        <w:ind w:left="720"/>
        <w:jc w:val="center"/>
        <w:rPr>
          <w:rFonts w:ascii="Times New Roman" w:hAnsi="Times New Roman" w:cs="Times New Roman"/>
          <w:sz w:val="24"/>
          <w:lang w:val="en-US"/>
        </w:rPr>
      </w:pPr>
    </w:p>
    <w:p w:rsidR="005964A4" w:rsidRDefault="005964A4" w:rsidP="0076413B">
      <w:pPr>
        <w:pStyle w:val="NormalWeb"/>
        <w:ind w:left="720"/>
        <w:jc w:val="center"/>
        <w:rPr>
          <w:rFonts w:ascii="Times New Roman" w:hAnsi="Times New Roman" w:cs="Times New Roman"/>
          <w:sz w:val="24"/>
          <w:lang w:val="en-US"/>
        </w:rPr>
      </w:pPr>
    </w:p>
    <w:p w:rsidR="0076413B" w:rsidRPr="00814FA9" w:rsidRDefault="0076413B" w:rsidP="0076413B">
      <w:pPr>
        <w:pStyle w:val="NormalWeb"/>
        <w:ind w:left="720"/>
        <w:jc w:val="center"/>
        <w:rPr>
          <w:rFonts w:ascii="Times New Roman" w:hAnsi="Times New Roman" w:cs="Times New Roman"/>
          <w:sz w:val="24"/>
          <w:lang w:val="ro-RO"/>
        </w:rPr>
      </w:pPr>
      <w:r w:rsidRPr="00814FA9">
        <w:rPr>
          <w:rFonts w:ascii="Times New Roman" w:hAnsi="Times New Roman" w:cs="Times New Roman"/>
          <w:sz w:val="24"/>
          <w:lang w:val="ro-RO"/>
        </w:rPr>
        <w:lastRenderedPageBreak/>
        <w:t>* * *</w:t>
      </w:r>
    </w:p>
    <w:p w:rsidR="00384FBC" w:rsidRPr="00814FA9" w:rsidRDefault="001E7895" w:rsidP="001E7895">
      <w:pPr>
        <w:pStyle w:val="NormalWeb"/>
        <w:jc w:val="both"/>
        <w:rPr>
          <w:rFonts w:ascii="Times New Roman" w:hAnsi="Times New Roman" w:cs="Times New Roman"/>
          <w:lang w:val="ro-RO"/>
        </w:rPr>
      </w:pPr>
      <w:r w:rsidRPr="00814FA9">
        <w:rPr>
          <w:rFonts w:ascii="Times New Roman" w:hAnsi="Times New Roman" w:cs="Times New Roman"/>
          <w:lang w:val="ro-RO"/>
        </w:rPr>
        <w:t>Reamintim totodată că</w:t>
      </w:r>
      <w:r w:rsidR="00101767" w:rsidRPr="00814FA9">
        <w:rPr>
          <w:rFonts w:ascii="Times New Roman" w:hAnsi="Times New Roman" w:cs="Times New Roman"/>
          <w:lang w:val="ro-RO"/>
        </w:rPr>
        <w:t>,</w:t>
      </w:r>
      <w:r w:rsidRPr="00814FA9">
        <w:rPr>
          <w:rFonts w:ascii="Times New Roman" w:hAnsi="Times New Roman" w:cs="Times New Roman"/>
          <w:lang w:val="ro-RO"/>
        </w:rPr>
        <w:t xml:space="preserve"> </w:t>
      </w:r>
      <w:r w:rsidR="008F112D" w:rsidRPr="00814FA9">
        <w:rPr>
          <w:rFonts w:ascii="Times New Roman" w:hAnsi="Times New Roman" w:cs="Times New Roman"/>
          <w:lang w:val="ro-RO"/>
        </w:rPr>
        <w:t xml:space="preserve">în prezent, </w:t>
      </w:r>
      <w:r w:rsidRPr="00814FA9">
        <w:rPr>
          <w:rFonts w:ascii="Times New Roman" w:hAnsi="Times New Roman" w:cs="Times New Roman"/>
          <w:lang w:val="ro-RO"/>
        </w:rPr>
        <w:t xml:space="preserve">a fost implementat cadrul legal care permite tuturor consumatorilor să își aleagă furnizorul de gaze naturale. </w:t>
      </w:r>
    </w:p>
    <w:p w:rsidR="008F112D" w:rsidRPr="00814FA9" w:rsidRDefault="001E7895" w:rsidP="001E7895">
      <w:pPr>
        <w:pStyle w:val="NormalWeb"/>
        <w:jc w:val="both"/>
        <w:rPr>
          <w:rFonts w:ascii="Times New Roman" w:hAnsi="Times New Roman" w:cs="Times New Roman"/>
          <w:lang w:val="ro-RO"/>
        </w:rPr>
      </w:pPr>
      <w:r w:rsidRPr="00814FA9">
        <w:rPr>
          <w:rFonts w:ascii="Times New Roman" w:hAnsi="Times New Roman" w:cs="Times New Roman"/>
          <w:lang w:val="ro-RO"/>
        </w:rPr>
        <w:t>Procesul de schimbare a furnizorului este gratuit, nu implică modificări de ordin tehnic și orice client final casnic de gaze naturale poate să treacă de la furnizarea în regim reglementat</w:t>
      </w:r>
      <w:r w:rsidR="008F112D" w:rsidRPr="00814FA9">
        <w:rPr>
          <w:rFonts w:ascii="Times New Roman" w:hAnsi="Times New Roman" w:cs="Times New Roman"/>
          <w:lang w:val="ro-RO"/>
        </w:rPr>
        <w:t xml:space="preserve"> (la preţul final reglementat şi în baza contractului-cadru de furnizare aprobate de ANRE), la furnizarea in regim concurential (la preţul de furnizare şi în condiţiile comerciale stabilite între furnizor şi clientul final de gaze naturale). </w:t>
      </w:r>
    </w:p>
    <w:p w:rsidR="0076413B" w:rsidRPr="00814FA9" w:rsidRDefault="001E7895" w:rsidP="0009405F">
      <w:pPr>
        <w:pStyle w:val="NormalWeb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814FA9">
        <w:rPr>
          <w:rFonts w:ascii="Times New Roman" w:hAnsi="Times New Roman" w:cs="Times New Roman"/>
          <w:lang w:val="ro-RO"/>
        </w:rPr>
        <w:t>Pentru a veni în sprijinul clienților finali casnici de gaze naturale, ANRE a pus la dispozitie, la pagina proprie de internet, o aplicație web de comparare a prețurilor în domeniul gazelor naturale denumită "</w:t>
      </w:r>
      <w:r w:rsidRPr="00814FA9">
        <w:rPr>
          <w:rStyle w:val="Emphasis"/>
          <w:rFonts w:ascii="Times New Roman" w:hAnsi="Times New Roman" w:cs="Times New Roman"/>
          <w:lang w:val="ro-RO"/>
        </w:rPr>
        <w:t>Comparator oferte-tip de furnizare a gazelor naturale</w:t>
      </w:r>
      <w:r w:rsidRPr="00814FA9">
        <w:rPr>
          <w:rFonts w:ascii="Times New Roman" w:hAnsi="Times New Roman" w:cs="Times New Roman"/>
          <w:lang w:val="ro-RO"/>
        </w:rPr>
        <w:t>", instrument independent și necomercial al cărui scop este sa permită compararea preţurilor de furnizare şi a condiţiilor oferite de furnizorii de gaze naturale, înainte de a alege un anume furnizor sau o anume ofertă-tip.</w:t>
      </w:r>
      <w:r w:rsidR="008F112D" w:rsidRPr="00814FA9">
        <w:rPr>
          <w:rFonts w:ascii="Times New Roman" w:hAnsi="Times New Roman" w:cs="Times New Roman"/>
          <w:lang w:val="ro-RO"/>
        </w:rPr>
        <w:t xml:space="preserve"> </w:t>
      </w:r>
      <w:r w:rsidRPr="00814FA9">
        <w:rPr>
          <w:rFonts w:ascii="Times New Roman" w:hAnsi="Times New Roman" w:cs="Times New Roman"/>
          <w:lang w:val="ro-RO"/>
        </w:rPr>
        <w:t xml:space="preserve">Prin linkul </w:t>
      </w:r>
      <w:hyperlink r:id="rId8" w:history="1">
        <w:r w:rsidRPr="00814FA9">
          <w:rPr>
            <w:rStyle w:val="Hyperlink"/>
            <w:rFonts w:ascii="Times New Roman" w:hAnsi="Times New Roman" w:cs="Times New Roman"/>
            <w:lang w:val="ro-RO"/>
          </w:rPr>
          <w:t>http://www.anre.ro/ro/info-consumatori/comparator-oferte-tip-de-furnizare-a-gn</w:t>
        </w:r>
      </w:hyperlink>
      <w:r w:rsidRPr="00814FA9">
        <w:rPr>
          <w:rFonts w:ascii="Times New Roman" w:hAnsi="Times New Roman" w:cs="Times New Roman"/>
          <w:lang w:val="ro-RO"/>
        </w:rPr>
        <w:t xml:space="preserve">  clienții finali de gaze naturale au posibilitatea accesarii directe a comparatorului de preturi în domeniul gazelor naturale, care se gaseste afisat pe prima pagina (Home) a site-ului ANRE.</w:t>
      </w:r>
      <w:r w:rsidR="0009405F" w:rsidRPr="00814FA9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</w:p>
    <w:sectPr w:rsidR="0076413B" w:rsidRPr="00814FA9" w:rsidSect="0089155B">
      <w:footerReference w:type="default" r:id="rId9"/>
      <w:headerReference w:type="first" r:id="rId10"/>
      <w:footerReference w:type="first" r:id="rId11"/>
      <w:pgSz w:w="11906" w:h="16838" w:code="9"/>
      <w:pgMar w:top="1418" w:right="991" w:bottom="1276" w:left="1276" w:header="85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FA" w:rsidRDefault="00AD17FA" w:rsidP="003B4C37">
      <w:pPr>
        <w:spacing w:after="0" w:line="240" w:lineRule="auto"/>
      </w:pPr>
      <w:r>
        <w:separator/>
      </w:r>
    </w:p>
  </w:endnote>
  <w:endnote w:type="continuationSeparator" w:id="0">
    <w:p w:rsidR="00AD17FA" w:rsidRDefault="00AD17FA" w:rsidP="003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935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D6D" w:rsidRDefault="00EB560D">
        <w:pPr>
          <w:pStyle w:val="Footer"/>
          <w:jc w:val="center"/>
        </w:pPr>
        <w:r>
          <w:fldChar w:fldCharType="begin"/>
        </w:r>
        <w:r w:rsidR="00561D6D">
          <w:instrText xml:space="preserve"> PAGE   \* MERGEFORMAT </w:instrText>
        </w:r>
        <w:r>
          <w:fldChar w:fldCharType="separate"/>
        </w:r>
        <w:r w:rsidR="00975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D6D" w:rsidRDefault="00561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37" w:rsidRPr="00A63C0A" w:rsidRDefault="003B4C37" w:rsidP="00561D6D">
    <w:pPr>
      <w:tabs>
        <w:tab w:val="left" w:pos="2475"/>
        <w:tab w:val="center" w:pos="5031"/>
      </w:tabs>
      <w:spacing w:after="40" w:line="240" w:lineRule="auto"/>
      <w:jc w:val="center"/>
      <w:rPr>
        <w:rFonts w:ascii="Arial" w:hAnsi="Arial" w:cs="Arial"/>
        <w:sz w:val="16"/>
      </w:rPr>
    </w:pPr>
    <w:r w:rsidRPr="00A63C0A">
      <w:rPr>
        <w:rFonts w:ascii="Arial" w:hAnsi="Arial" w:cs="Arial"/>
        <w:sz w:val="16"/>
      </w:rPr>
      <w:t>Str. Constantin Nacu, nr. 3, Sector 2, Bucureşti, Cod poştal: 020995</w:t>
    </w:r>
  </w:p>
  <w:p w:rsidR="003B4C37" w:rsidRPr="00160D1D" w:rsidRDefault="00F80B77" w:rsidP="00F80B77">
    <w:pPr>
      <w:tabs>
        <w:tab w:val="center" w:pos="4864"/>
        <w:tab w:val="left" w:pos="8235"/>
      </w:tabs>
      <w:spacing w:after="4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3B4C37" w:rsidRPr="00A63C0A">
      <w:rPr>
        <w:rFonts w:ascii="Arial" w:hAnsi="Arial" w:cs="Arial"/>
        <w:sz w:val="16"/>
      </w:rPr>
      <w:t>Tel: (021) 327 8100. Fax: (021) 312 4365. E-mail: anre@anre.ro. Web: www.anre.ro</w:t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FA" w:rsidRDefault="00AD17FA" w:rsidP="003B4C37">
      <w:pPr>
        <w:spacing w:after="0" w:line="240" w:lineRule="auto"/>
      </w:pPr>
      <w:r>
        <w:separator/>
      </w:r>
    </w:p>
  </w:footnote>
  <w:footnote w:type="continuationSeparator" w:id="0">
    <w:p w:rsidR="00AD17FA" w:rsidRDefault="00AD17FA" w:rsidP="003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D9" w:rsidRDefault="00EB560D" w:rsidP="003927D9">
    <w:pPr>
      <w:pStyle w:val="Header"/>
      <w:tabs>
        <w:tab w:val="clear" w:pos="9026"/>
        <w:tab w:val="right" w:pos="7349"/>
      </w:tabs>
    </w:pPr>
    <w:r w:rsidRPr="00EB560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0;margin-top:-9.7pt;width:408.75pt;height:54.75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" filled="f" stroked="f" strokeweight=".5pt">
          <v:textbox>
            <w:txbxContent>
              <w:p w:rsidR="003B4C37" w:rsidRPr="00A70B44" w:rsidRDefault="003B4C37" w:rsidP="003B4C37">
                <w:pPr>
                  <w:spacing w:after="0" w:line="360" w:lineRule="auto"/>
                  <w:rPr>
                    <w:rFonts w:ascii="Arial" w:hAnsi="Arial" w:cs="Arial"/>
                    <w:b/>
                    <w:szCs w:val="21"/>
                  </w:rPr>
                </w:pPr>
                <w:r w:rsidRPr="00A70B44">
                  <w:rPr>
                    <w:rFonts w:ascii="Arial" w:hAnsi="Arial" w:cs="Arial"/>
                    <w:b/>
                    <w:szCs w:val="21"/>
                  </w:rPr>
                  <w:t>AUTORITATEA NAȚIONALĂ DE REGLEMENTARE ÎN DOMENIUL ENERGIEI</w:t>
                </w:r>
              </w:p>
              <w:p w:rsidR="00494141" w:rsidRDefault="00494141" w:rsidP="0049414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Direcţia comunicare, cooperare şi relaţia cu Parlamentul</w:t>
                </w:r>
              </w:p>
              <w:p w:rsidR="002F287A" w:rsidRDefault="002F287A" w:rsidP="0049414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</w:p>
              <w:p w:rsidR="003B4C37" w:rsidRDefault="003B4C37" w:rsidP="003B4C3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</w:p>
              <w:p w:rsidR="003927D9" w:rsidRDefault="003927D9" w:rsidP="003B4C3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</w:p>
              <w:p w:rsidR="003927D9" w:rsidRDefault="003927D9" w:rsidP="003B4C3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</w:p>
              <w:p w:rsidR="003927D9" w:rsidRPr="004B1447" w:rsidRDefault="003927D9" w:rsidP="003B4C3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</w:p>
            </w:txbxContent>
          </v:textbox>
          <w10:wrap anchorx="margin"/>
        </v:shape>
      </w:pict>
    </w:r>
    <w:r w:rsidR="006E0DF7">
      <w:rPr>
        <w:noProof/>
        <w:lang w:eastAsia="ro-RO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4643120</wp:posOffset>
          </wp:positionH>
          <wp:positionV relativeFrom="paragraph">
            <wp:posOffset>14605</wp:posOffset>
          </wp:positionV>
          <wp:extent cx="1352550" cy="788035"/>
          <wp:effectExtent l="0" t="0" r="0" b="0"/>
          <wp:wrapThrough wrapText="bothSides">
            <wp:wrapPolygon edited="0">
              <wp:start x="0" y="0"/>
              <wp:lineTo x="0" y="20886"/>
              <wp:lineTo x="21296" y="20886"/>
              <wp:lineTo x="21296" y="0"/>
              <wp:lineTo x="0" y="0"/>
            </wp:wrapPolygon>
          </wp:wrapThrough>
          <wp:docPr id="3" name="Picture 3" descr="C:\Users\Work\AppData\Local\Microsoft\Windows\INetCache\Content.Word\hora-541x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ork\AppData\Local\Microsoft\Windows\INetCache\Content.Word\hora-541x3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27D9">
      <w:rPr>
        <w:noProof/>
        <w:lang w:eastAsia="ro-RO"/>
      </w:rPr>
      <w:drawing>
        <wp:inline distT="0" distB="0" distL="0" distR="0">
          <wp:extent cx="834390" cy="7076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ANRE - SIMBOL FINAL FINA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270" cy="71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38A"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5800090</wp:posOffset>
          </wp:positionH>
          <wp:positionV relativeFrom="paragraph">
            <wp:posOffset>7620</wp:posOffset>
          </wp:positionV>
          <wp:extent cx="467995" cy="676275"/>
          <wp:effectExtent l="0" t="0" r="8255" b="9525"/>
          <wp:wrapTight wrapText="bothSides">
            <wp:wrapPolygon edited="0">
              <wp:start x="0" y="0"/>
              <wp:lineTo x="0" y="19470"/>
              <wp:lineTo x="7034" y="21296"/>
              <wp:lineTo x="14068" y="21296"/>
              <wp:lineTo x="21102" y="19470"/>
              <wp:lineTo x="2110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at_of_arms_of_Romania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C37" w:rsidRPr="006521DE">
      <w:rPr>
        <w:noProof/>
        <w:lang w:val="en-GB" w:eastAsia="en-GB"/>
      </w:rPr>
      <w:t xml:space="preserve"> </w:t>
    </w:r>
    <w:r w:rsidR="003B4C37">
      <w:t xml:space="preserve">                                                                                                                                                                </w:t>
    </w:r>
  </w:p>
  <w:p w:rsidR="003B4C37" w:rsidRDefault="00EB560D" w:rsidP="003927D9">
    <w:pPr>
      <w:pStyle w:val="Header"/>
      <w:tabs>
        <w:tab w:val="clear" w:pos="9026"/>
        <w:tab w:val="right" w:pos="7349"/>
      </w:tabs>
    </w:pPr>
    <w:r w:rsidRPr="00EB560D">
      <w:rPr>
        <w:noProof/>
        <w:lang w:val="en-GB" w:eastAsia="en-GB"/>
      </w:rPr>
      <w:pict>
        <v:line id="Straight Connector 2" o:spid="_x0000_s4097" style="position:absolute;z-index:251660288;visibility:visible;mso-position-horizontal-relative:margin;mso-width-relative:margin" from=".15pt,3.95pt" to="493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" strokecolor="black [3213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B72"/>
    <w:multiLevelType w:val="hybridMultilevel"/>
    <w:tmpl w:val="18B65950"/>
    <w:lvl w:ilvl="0" w:tplc="0AE088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4530"/>
    <w:multiLevelType w:val="hybridMultilevel"/>
    <w:tmpl w:val="4382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909"/>
    <w:multiLevelType w:val="hybridMultilevel"/>
    <w:tmpl w:val="3086D6C0"/>
    <w:lvl w:ilvl="0" w:tplc="724E9A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0CA4"/>
    <w:multiLevelType w:val="hybridMultilevel"/>
    <w:tmpl w:val="052A87F0"/>
    <w:lvl w:ilvl="0" w:tplc="1A34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3DA"/>
    <w:multiLevelType w:val="hybridMultilevel"/>
    <w:tmpl w:val="ED707C28"/>
    <w:lvl w:ilvl="0" w:tplc="7566303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882DD6"/>
    <w:multiLevelType w:val="hybridMultilevel"/>
    <w:tmpl w:val="4B427D1C"/>
    <w:lvl w:ilvl="0" w:tplc="34DE8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2FDE"/>
    <w:multiLevelType w:val="hybridMultilevel"/>
    <w:tmpl w:val="C8A4B6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06CDB"/>
    <w:multiLevelType w:val="hybridMultilevel"/>
    <w:tmpl w:val="FB34A748"/>
    <w:lvl w:ilvl="0" w:tplc="F82EC0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915BF"/>
    <w:multiLevelType w:val="hybridMultilevel"/>
    <w:tmpl w:val="0AC6C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B1552"/>
    <w:multiLevelType w:val="hybridMultilevel"/>
    <w:tmpl w:val="D32E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91B2B"/>
    <w:multiLevelType w:val="hybridMultilevel"/>
    <w:tmpl w:val="9410B864"/>
    <w:lvl w:ilvl="0" w:tplc="475284E4">
      <w:start w:val="9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1230C"/>
    <w:multiLevelType w:val="multilevel"/>
    <w:tmpl w:val="9374543E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4C37"/>
    <w:rsid w:val="000163F4"/>
    <w:rsid w:val="0002260D"/>
    <w:rsid w:val="00034165"/>
    <w:rsid w:val="00046F71"/>
    <w:rsid w:val="00056A56"/>
    <w:rsid w:val="00057EF5"/>
    <w:rsid w:val="000662AB"/>
    <w:rsid w:val="00067F34"/>
    <w:rsid w:val="0009405F"/>
    <w:rsid w:val="0009438A"/>
    <w:rsid w:val="00096493"/>
    <w:rsid w:val="000A68FF"/>
    <w:rsid w:val="000C03D9"/>
    <w:rsid w:val="000D4689"/>
    <w:rsid w:val="000F2DA8"/>
    <w:rsid w:val="000F4624"/>
    <w:rsid w:val="00101767"/>
    <w:rsid w:val="00123A54"/>
    <w:rsid w:val="00124D8A"/>
    <w:rsid w:val="00130459"/>
    <w:rsid w:val="0013274F"/>
    <w:rsid w:val="00133ABA"/>
    <w:rsid w:val="001422E3"/>
    <w:rsid w:val="00160D1D"/>
    <w:rsid w:val="00172D21"/>
    <w:rsid w:val="00175AED"/>
    <w:rsid w:val="00177122"/>
    <w:rsid w:val="00181F49"/>
    <w:rsid w:val="00194B92"/>
    <w:rsid w:val="001A5AC4"/>
    <w:rsid w:val="001D7EE6"/>
    <w:rsid w:val="001E5D45"/>
    <w:rsid w:val="001E7895"/>
    <w:rsid w:val="001F3D7C"/>
    <w:rsid w:val="001F6855"/>
    <w:rsid w:val="00204A76"/>
    <w:rsid w:val="00212E83"/>
    <w:rsid w:val="002223F9"/>
    <w:rsid w:val="002759E0"/>
    <w:rsid w:val="0027738A"/>
    <w:rsid w:val="00290F83"/>
    <w:rsid w:val="00297754"/>
    <w:rsid w:val="002A2C87"/>
    <w:rsid w:val="002B3467"/>
    <w:rsid w:val="002B7287"/>
    <w:rsid w:val="002C5690"/>
    <w:rsid w:val="002C5917"/>
    <w:rsid w:val="002E153F"/>
    <w:rsid w:val="002E5E7C"/>
    <w:rsid w:val="002F287A"/>
    <w:rsid w:val="00301D0A"/>
    <w:rsid w:val="0030310B"/>
    <w:rsid w:val="00314F80"/>
    <w:rsid w:val="00315655"/>
    <w:rsid w:val="00330117"/>
    <w:rsid w:val="0033247A"/>
    <w:rsid w:val="00346BBA"/>
    <w:rsid w:val="0036235B"/>
    <w:rsid w:val="0037242D"/>
    <w:rsid w:val="003842D0"/>
    <w:rsid w:val="00384FBC"/>
    <w:rsid w:val="003850FE"/>
    <w:rsid w:val="0038775E"/>
    <w:rsid w:val="003927D9"/>
    <w:rsid w:val="00395132"/>
    <w:rsid w:val="00395D85"/>
    <w:rsid w:val="003B0ECB"/>
    <w:rsid w:val="003B4C37"/>
    <w:rsid w:val="003B62D6"/>
    <w:rsid w:val="003C20E0"/>
    <w:rsid w:val="003C7B98"/>
    <w:rsid w:val="003D10A4"/>
    <w:rsid w:val="003E236A"/>
    <w:rsid w:val="00422458"/>
    <w:rsid w:val="00431B9E"/>
    <w:rsid w:val="00437C42"/>
    <w:rsid w:val="00443370"/>
    <w:rsid w:val="00444064"/>
    <w:rsid w:val="004477D0"/>
    <w:rsid w:val="0046081D"/>
    <w:rsid w:val="004707DF"/>
    <w:rsid w:val="0047208B"/>
    <w:rsid w:val="00494141"/>
    <w:rsid w:val="00494495"/>
    <w:rsid w:val="0049732B"/>
    <w:rsid w:val="004C0B86"/>
    <w:rsid w:val="004E3E0D"/>
    <w:rsid w:val="004E4C77"/>
    <w:rsid w:val="004F1DB4"/>
    <w:rsid w:val="004F5073"/>
    <w:rsid w:val="0051290C"/>
    <w:rsid w:val="005542C8"/>
    <w:rsid w:val="005566FE"/>
    <w:rsid w:val="00561D6D"/>
    <w:rsid w:val="00571353"/>
    <w:rsid w:val="005776CC"/>
    <w:rsid w:val="0059249A"/>
    <w:rsid w:val="005964A4"/>
    <w:rsid w:val="005A480A"/>
    <w:rsid w:val="005D4042"/>
    <w:rsid w:val="005E003D"/>
    <w:rsid w:val="005E18B2"/>
    <w:rsid w:val="005F3D43"/>
    <w:rsid w:val="005F6E57"/>
    <w:rsid w:val="00620875"/>
    <w:rsid w:val="0062640E"/>
    <w:rsid w:val="0064061F"/>
    <w:rsid w:val="00646663"/>
    <w:rsid w:val="0064776A"/>
    <w:rsid w:val="0065151F"/>
    <w:rsid w:val="006645EF"/>
    <w:rsid w:val="006A2FB3"/>
    <w:rsid w:val="006A6261"/>
    <w:rsid w:val="006D6A04"/>
    <w:rsid w:val="006E0DF7"/>
    <w:rsid w:val="00710579"/>
    <w:rsid w:val="00725922"/>
    <w:rsid w:val="007442D4"/>
    <w:rsid w:val="0076413B"/>
    <w:rsid w:val="00773BFE"/>
    <w:rsid w:val="00774949"/>
    <w:rsid w:val="007910A9"/>
    <w:rsid w:val="00797005"/>
    <w:rsid w:val="007A183A"/>
    <w:rsid w:val="007B3DCB"/>
    <w:rsid w:val="007C0BC0"/>
    <w:rsid w:val="007E6C67"/>
    <w:rsid w:val="00814FA9"/>
    <w:rsid w:val="00827CDE"/>
    <w:rsid w:val="00845749"/>
    <w:rsid w:val="00877AEF"/>
    <w:rsid w:val="00890D8D"/>
    <w:rsid w:val="0089155B"/>
    <w:rsid w:val="00895766"/>
    <w:rsid w:val="008B5C27"/>
    <w:rsid w:val="008B63F9"/>
    <w:rsid w:val="008B689F"/>
    <w:rsid w:val="008C1832"/>
    <w:rsid w:val="008C3E83"/>
    <w:rsid w:val="008D514A"/>
    <w:rsid w:val="008D591A"/>
    <w:rsid w:val="008D7198"/>
    <w:rsid w:val="008D7A6B"/>
    <w:rsid w:val="008F112D"/>
    <w:rsid w:val="008F401E"/>
    <w:rsid w:val="00904C5E"/>
    <w:rsid w:val="0090709F"/>
    <w:rsid w:val="0092236A"/>
    <w:rsid w:val="00923D34"/>
    <w:rsid w:val="009458F5"/>
    <w:rsid w:val="00951F4E"/>
    <w:rsid w:val="009751AB"/>
    <w:rsid w:val="00983130"/>
    <w:rsid w:val="0099727E"/>
    <w:rsid w:val="009A3456"/>
    <w:rsid w:val="009C01B6"/>
    <w:rsid w:val="009F0C2F"/>
    <w:rsid w:val="00A045D6"/>
    <w:rsid w:val="00A04E5F"/>
    <w:rsid w:val="00A06EE0"/>
    <w:rsid w:val="00A10DA1"/>
    <w:rsid w:val="00A14658"/>
    <w:rsid w:val="00A359E2"/>
    <w:rsid w:val="00A43E22"/>
    <w:rsid w:val="00A454DB"/>
    <w:rsid w:val="00A52EB2"/>
    <w:rsid w:val="00A672E3"/>
    <w:rsid w:val="00A946CF"/>
    <w:rsid w:val="00AB3E25"/>
    <w:rsid w:val="00AC3137"/>
    <w:rsid w:val="00AD17FA"/>
    <w:rsid w:val="00B057DB"/>
    <w:rsid w:val="00B114B2"/>
    <w:rsid w:val="00B21FF5"/>
    <w:rsid w:val="00B252A9"/>
    <w:rsid w:val="00B2563B"/>
    <w:rsid w:val="00B31376"/>
    <w:rsid w:val="00B50559"/>
    <w:rsid w:val="00B55508"/>
    <w:rsid w:val="00B56190"/>
    <w:rsid w:val="00B620DD"/>
    <w:rsid w:val="00B62AAE"/>
    <w:rsid w:val="00B7597B"/>
    <w:rsid w:val="00B81C1F"/>
    <w:rsid w:val="00B83173"/>
    <w:rsid w:val="00BA024F"/>
    <w:rsid w:val="00BA1012"/>
    <w:rsid w:val="00BA16A5"/>
    <w:rsid w:val="00BB13FC"/>
    <w:rsid w:val="00BC4DAC"/>
    <w:rsid w:val="00BC7306"/>
    <w:rsid w:val="00BD25E4"/>
    <w:rsid w:val="00BD2AD7"/>
    <w:rsid w:val="00BE3B1E"/>
    <w:rsid w:val="00C326A0"/>
    <w:rsid w:val="00C410BE"/>
    <w:rsid w:val="00C45104"/>
    <w:rsid w:val="00C45609"/>
    <w:rsid w:val="00C5504A"/>
    <w:rsid w:val="00C70586"/>
    <w:rsid w:val="00C73C28"/>
    <w:rsid w:val="00C82796"/>
    <w:rsid w:val="00CA44DC"/>
    <w:rsid w:val="00CA5684"/>
    <w:rsid w:val="00CC3EE3"/>
    <w:rsid w:val="00CC4066"/>
    <w:rsid w:val="00D02B65"/>
    <w:rsid w:val="00D077C2"/>
    <w:rsid w:val="00D17C7B"/>
    <w:rsid w:val="00D47766"/>
    <w:rsid w:val="00D517D9"/>
    <w:rsid w:val="00D66765"/>
    <w:rsid w:val="00DA1E26"/>
    <w:rsid w:val="00DA6ECF"/>
    <w:rsid w:val="00DB1925"/>
    <w:rsid w:val="00DC3611"/>
    <w:rsid w:val="00DD7092"/>
    <w:rsid w:val="00DD7313"/>
    <w:rsid w:val="00DF5638"/>
    <w:rsid w:val="00E0552F"/>
    <w:rsid w:val="00E14478"/>
    <w:rsid w:val="00E22AA8"/>
    <w:rsid w:val="00E41827"/>
    <w:rsid w:val="00E475A3"/>
    <w:rsid w:val="00E51A3E"/>
    <w:rsid w:val="00E565FF"/>
    <w:rsid w:val="00E7190C"/>
    <w:rsid w:val="00E77D76"/>
    <w:rsid w:val="00E9101C"/>
    <w:rsid w:val="00EA2F0B"/>
    <w:rsid w:val="00EB560D"/>
    <w:rsid w:val="00ED02D9"/>
    <w:rsid w:val="00F028BA"/>
    <w:rsid w:val="00F10B47"/>
    <w:rsid w:val="00F615A0"/>
    <w:rsid w:val="00F71343"/>
    <w:rsid w:val="00F80B77"/>
    <w:rsid w:val="00F87BC8"/>
    <w:rsid w:val="00F90F91"/>
    <w:rsid w:val="00FA5BB2"/>
    <w:rsid w:val="00FC1F8F"/>
    <w:rsid w:val="00FC7ABB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0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3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B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3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1D"/>
    <w:rPr>
      <w:rFonts w:ascii="Segoe UI" w:hAnsi="Segoe UI" w:cs="Segoe UI"/>
      <w:sz w:val="18"/>
      <w:szCs w:val="18"/>
      <w:lang w:val="ro-RO"/>
    </w:rPr>
  </w:style>
  <w:style w:type="paragraph" w:customStyle="1" w:styleId="CharCharCharChar">
    <w:name w:val="Char Char Char Char"/>
    <w:basedOn w:val="Normal"/>
    <w:rsid w:val="005F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8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7A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46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F10B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B47"/>
    <w:pPr>
      <w:ind w:left="720"/>
      <w:contextualSpacing/>
    </w:pPr>
  </w:style>
  <w:style w:type="paragraph" w:customStyle="1" w:styleId="Default">
    <w:name w:val="Default"/>
    <w:rsid w:val="0049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2E153F"/>
    <w:rPr>
      <w:b/>
      <w:bCs/>
    </w:rPr>
  </w:style>
  <w:style w:type="character" w:styleId="Emphasis">
    <w:name w:val="Emphasis"/>
    <w:basedOn w:val="DefaultParagraphFont"/>
    <w:uiPriority w:val="20"/>
    <w:qFormat/>
    <w:rsid w:val="00DA1E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10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7895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e.ro/ro/info-consumatori/comparator-oferte-tip-de-furnizare-a-g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6F44-7776-4A5F-B049-CDF5CAFB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759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NISTOR</dc:creator>
  <cp:keywords/>
  <dc:description/>
  <cp:lastModifiedBy>cristian</cp:lastModifiedBy>
  <cp:revision>25</cp:revision>
  <cp:lastPrinted>2018-07-17T09:04:00Z</cp:lastPrinted>
  <dcterms:created xsi:type="dcterms:W3CDTF">2018-07-18T12:54:00Z</dcterms:created>
  <dcterms:modified xsi:type="dcterms:W3CDTF">2018-07-19T12:47:00Z</dcterms:modified>
</cp:coreProperties>
</file>