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F" w:rsidRDefault="0073414F" w:rsidP="0073414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3414F">
        <w:rPr>
          <w:rFonts w:ascii="Times New Roman" w:hAnsi="Times New Roman" w:cs="Times New Roman"/>
          <w:sz w:val="28"/>
          <w:szCs w:val="28"/>
          <w:lang w:val="ro-RO"/>
        </w:rPr>
        <w:t>Anexa nr. 1</w:t>
      </w:r>
    </w:p>
    <w:p w:rsidR="008E08A9" w:rsidRPr="0073414F" w:rsidRDefault="008E08A9" w:rsidP="0073414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A6962" w:rsidRPr="008F46C9" w:rsidRDefault="007A0ABE" w:rsidP="002B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Metodologie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776C4" w:rsidRPr="00954D65">
        <w:rPr>
          <w:rFonts w:ascii="Times New Roman" w:hAnsi="Times New Roman" w:cs="Times New Roman"/>
          <w:b/>
          <w:sz w:val="28"/>
          <w:szCs w:val="28"/>
          <w:lang w:val="ro-RO"/>
        </w:rPr>
        <w:t>privind calculul și stabilirea contribuției bănești</w:t>
      </w:r>
      <w:r w:rsidR="009213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776C4" w:rsidRPr="00954D65">
        <w:rPr>
          <w:rFonts w:ascii="Times New Roman" w:hAnsi="Times New Roman" w:cs="Times New Roman"/>
          <w:b/>
          <w:sz w:val="28"/>
          <w:szCs w:val="28"/>
          <w:lang w:val="ro-RO"/>
        </w:rPr>
        <w:t>anuale</w:t>
      </w:r>
      <w:r w:rsidR="00370E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prevă</w:t>
      </w:r>
      <w:r w:rsidR="00B5619B" w:rsidRPr="00954D65">
        <w:rPr>
          <w:rFonts w:ascii="Times New Roman" w:hAnsi="Times New Roman" w:cs="Times New Roman"/>
          <w:b/>
          <w:sz w:val="28"/>
          <w:szCs w:val="28"/>
          <w:lang w:val="ro-RO"/>
        </w:rPr>
        <w:t>zute la</w:t>
      </w:r>
      <w:r w:rsidR="007240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>art.2 alin.</w:t>
      </w:r>
      <w:r w:rsidR="00304C82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>(3</w:t>
      </w:r>
      <w:r w:rsidR="002B4EB7" w:rsidRPr="00954D65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1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) din </w:t>
      </w:r>
      <w:bookmarkStart w:id="1" w:name="_Hlk535000019"/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2B4EB7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rdonanța de urgență a 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="002B4EB7" w:rsidRPr="00954D65">
        <w:rPr>
          <w:rFonts w:ascii="Times New Roman" w:hAnsi="Times New Roman" w:cs="Times New Roman"/>
          <w:b/>
          <w:sz w:val="28"/>
          <w:szCs w:val="28"/>
          <w:lang w:val="ro-RO"/>
        </w:rPr>
        <w:t>uvernului</w:t>
      </w:r>
      <w:r w:rsidR="00AE3A85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nr.33/2007</w:t>
      </w:r>
      <w:r w:rsidR="002B4EB7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B4EB7" w:rsidRPr="00954D6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organizarea </w:t>
      </w:r>
      <w:r w:rsidR="002B4EB7" w:rsidRPr="002B4EB7">
        <w:rPr>
          <w:rFonts w:ascii="Times New Roman" w:hAnsi="Times New Roman" w:cs="Times New Roman"/>
          <w:b/>
          <w:bCs/>
          <w:sz w:val="28"/>
          <w:szCs w:val="28"/>
          <w:lang w:val="ro-RO"/>
        </w:rPr>
        <w:t>şi funcţionarea Autorităţii Naţionale de Reglementare în Domeniul</w:t>
      </w:r>
      <w:r w:rsidR="002B4EB7" w:rsidRPr="00954D6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Energiei</w:t>
      </w:r>
      <w:r w:rsidR="00833D21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B5619B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aprobat</w:t>
      </w:r>
      <w:r w:rsidR="002B4EB7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cu modificări și completări prin Legea nr. </w:t>
      </w:r>
      <w:r w:rsidR="00B52FF0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160/2012, </w:t>
      </w:r>
      <w:bookmarkEnd w:id="1"/>
      <w:r w:rsidR="00E312F4" w:rsidRPr="004B244D">
        <w:rPr>
          <w:rFonts w:ascii="Times New Roman" w:hAnsi="Times New Roman" w:cs="Times New Roman"/>
          <w:b/>
          <w:sz w:val="28"/>
          <w:szCs w:val="28"/>
          <w:lang w:val="ro-RO"/>
        </w:rPr>
        <w:t>astfel cum a fost in</w:t>
      </w:r>
      <w:r w:rsidR="008F46C9" w:rsidRPr="004B244D">
        <w:rPr>
          <w:rFonts w:ascii="Times New Roman" w:hAnsi="Times New Roman" w:cs="Times New Roman"/>
          <w:b/>
          <w:sz w:val="28"/>
          <w:szCs w:val="28"/>
          <w:lang w:val="ro-RO"/>
        </w:rPr>
        <w:t>trodus prin Ordonanța de urgență a Guvernului nr. 114/2018</w:t>
      </w:r>
    </w:p>
    <w:p w:rsidR="00DC7F59" w:rsidRPr="00954D65" w:rsidRDefault="00DC7F59" w:rsidP="0058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643CE" w:rsidRPr="00954D65" w:rsidRDefault="00D643CE" w:rsidP="00304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>Capitolul I – Dispozi</w:t>
      </w:r>
      <w:r w:rsidR="008543F9" w:rsidRPr="00954D65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>ii generale</w:t>
      </w:r>
    </w:p>
    <w:p w:rsidR="00304C82" w:rsidRPr="00954D65" w:rsidRDefault="00D643CE" w:rsidP="00586A0E">
      <w:pPr>
        <w:pStyle w:val="ListParagraph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>Sec</w:t>
      </w:r>
      <w:r w:rsidR="008543F9" w:rsidRPr="00954D65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iunea 1 </w:t>
      </w:r>
    </w:p>
    <w:p w:rsidR="00AE3A85" w:rsidRPr="00954D65" w:rsidRDefault="00AE3A85" w:rsidP="00586A0E">
      <w:pPr>
        <w:pStyle w:val="ListParagraph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>Scop și domeniu de aplicare</w:t>
      </w:r>
    </w:p>
    <w:p w:rsidR="00032E5E" w:rsidRPr="00954D65" w:rsidRDefault="00F94006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1.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49AE" w:rsidRPr="00B056A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056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237F" w:rsidRPr="00B056A7">
        <w:rPr>
          <w:rFonts w:ascii="Times New Roman" w:hAnsi="Times New Roman" w:cs="Times New Roman"/>
          <w:sz w:val="28"/>
          <w:szCs w:val="28"/>
          <w:lang w:val="ro-RO"/>
        </w:rPr>
        <w:t>Prezenta metodologie</w:t>
      </w:r>
      <w:r w:rsidR="00DB237F">
        <w:rPr>
          <w:rFonts w:ascii="Times New Roman" w:hAnsi="Times New Roman" w:cs="Times New Roman"/>
          <w:sz w:val="28"/>
          <w:szCs w:val="28"/>
          <w:lang w:val="ro-RO"/>
        </w:rPr>
        <w:t xml:space="preserve"> stabileste</w:t>
      </w:r>
      <w:r w:rsidR="00AE3A85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modalitatea de calcul a contribuției bănești perceput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E3A85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tre ANRE conform prevederilor</w:t>
      </w:r>
      <w:r w:rsidR="008F4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46C9" w:rsidRPr="004B244D">
        <w:rPr>
          <w:rFonts w:ascii="Times New Roman" w:hAnsi="Times New Roman" w:cs="Times New Roman"/>
          <w:sz w:val="28"/>
          <w:szCs w:val="28"/>
          <w:lang w:val="ro-RO"/>
        </w:rPr>
        <w:t>art. 2 alin. (3</w:t>
      </w:r>
      <w:r w:rsidR="008F46C9" w:rsidRPr="004B24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8F46C9" w:rsidRPr="004B244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5619B" w:rsidRPr="004B2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46C9" w:rsidRPr="004B244D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304C82" w:rsidRPr="004B244D">
        <w:rPr>
          <w:rFonts w:ascii="Times New Roman" w:hAnsi="Times New Roman" w:cs="Times New Roman"/>
          <w:sz w:val="28"/>
          <w:szCs w:val="28"/>
          <w:lang w:val="ro-RO"/>
        </w:rPr>
        <w:t>Ordonanț</w:t>
      </w:r>
      <w:r w:rsidR="008F46C9" w:rsidRPr="004B244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04C82" w:rsidRPr="004B244D">
        <w:rPr>
          <w:rFonts w:ascii="Times New Roman" w:hAnsi="Times New Roman" w:cs="Times New Roman"/>
          <w:sz w:val="28"/>
          <w:szCs w:val="28"/>
          <w:lang w:val="ro-RO"/>
        </w:rPr>
        <w:t xml:space="preserve"> de urgență a Guvernului nr.</w:t>
      </w:r>
      <w:r w:rsidR="008543F9" w:rsidRPr="004B2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C82" w:rsidRPr="004B244D">
        <w:rPr>
          <w:rFonts w:ascii="Times New Roman" w:hAnsi="Times New Roman" w:cs="Times New Roman"/>
          <w:sz w:val="28"/>
          <w:szCs w:val="28"/>
          <w:lang w:val="ro-RO"/>
        </w:rPr>
        <w:t>33/2007</w:t>
      </w:r>
      <w:r w:rsidR="00304C82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C82" w:rsidRPr="00954D6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privind organizarea </w:t>
      </w:r>
      <w:r w:rsidR="00304C82" w:rsidRPr="002B4EB7">
        <w:rPr>
          <w:rFonts w:ascii="Times New Roman" w:hAnsi="Times New Roman" w:cs="Times New Roman"/>
          <w:bCs/>
          <w:sz w:val="28"/>
          <w:szCs w:val="28"/>
          <w:lang w:val="ro-RO"/>
        </w:rPr>
        <w:t>şi funcţionarea Autorităţii Naţionale de Reglementare în Domeniul</w:t>
      </w:r>
      <w:r w:rsidR="00304C82" w:rsidRPr="00954D6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Energiei</w:t>
      </w:r>
      <w:r w:rsidR="00833D21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304C82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aprobată cu modificări și completări prin Legea nr. 160/2012</w:t>
      </w:r>
      <w:r w:rsidR="008F46C9">
        <w:rPr>
          <w:rFonts w:ascii="Times New Roman" w:hAnsi="Times New Roman" w:cs="Times New Roman"/>
          <w:sz w:val="28"/>
          <w:szCs w:val="28"/>
          <w:lang w:val="ro-RO"/>
        </w:rPr>
        <w:t>, astfel cum a fost introdus prin Ordonanța de urgență a Guvernului nr. 114/2018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AE3A85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032E5E" w:rsidRPr="00954D65">
        <w:rPr>
          <w:rFonts w:ascii="Times New Roman" w:hAnsi="Times New Roman" w:cs="Times New Roman"/>
          <w:sz w:val="28"/>
          <w:szCs w:val="28"/>
          <w:lang w:val="ro-RO"/>
        </w:rPr>
        <w:t>titularii de licenț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32E5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domeniile:</w:t>
      </w:r>
    </w:p>
    <w:p w:rsidR="00032E5E" w:rsidRPr="00954D65" w:rsidRDefault="00032E5E" w:rsidP="00586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energiei electrice;</w:t>
      </w:r>
      <w:r w:rsidR="00AE3A85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32E5E" w:rsidRPr="00954D65" w:rsidRDefault="00AE3A85" w:rsidP="00586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energiei electrice și termice în cogenerare</w:t>
      </w:r>
      <w:r w:rsidR="00032E5E" w:rsidRPr="00954D65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E3A85" w:rsidRPr="00954D65" w:rsidRDefault="00AE3A85" w:rsidP="00586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gazelor naturale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643CE" w:rsidRPr="00954D65" w:rsidRDefault="00F94006" w:rsidP="00304C82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2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149AE" w:rsidRPr="00B056A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056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237F" w:rsidRPr="00B056A7">
        <w:rPr>
          <w:rFonts w:ascii="Times New Roman" w:hAnsi="Times New Roman" w:cs="Times New Roman"/>
          <w:sz w:val="28"/>
          <w:szCs w:val="28"/>
          <w:lang w:val="ro-RO"/>
        </w:rPr>
        <w:t xml:space="preserve">Prezenta metodologie 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se aplică de către </w:t>
      </w:r>
      <w:r w:rsidR="00954D65" w:rsidRPr="002B4EB7">
        <w:rPr>
          <w:rFonts w:ascii="Times New Roman" w:hAnsi="Times New Roman" w:cs="Times New Roman"/>
          <w:bCs/>
          <w:sz w:val="28"/>
          <w:szCs w:val="28"/>
          <w:lang w:val="ro-RO"/>
        </w:rPr>
        <w:t>Autorit</w:t>
      </w:r>
      <w:r w:rsidR="00954D65" w:rsidRPr="00954D65">
        <w:rPr>
          <w:rFonts w:ascii="Times New Roman" w:hAnsi="Times New Roman" w:cs="Times New Roman"/>
          <w:bCs/>
          <w:sz w:val="28"/>
          <w:szCs w:val="28"/>
          <w:lang w:val="ro-RO"/>
        </w:rPr>
        <w:t>atea</w:t>
      </w:r>
      <w:r w:rsidR="00954D65" w:rsidRPr="002B4EB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Naţional</w:t>
      </w:r>
      <w:r w:rsidR="00954D65" w:rsidRPr="00954D65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54D65" w:rsidRPr="002B4EB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Reglementare în Domeniul</w:t>
      </w:r>
      <w:r w:rsidR="00954D65" w:rsidRPr="00954D6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Energiei</w:t>
      </w:r>
      <w:r w:rsidR="00954D65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="00954D65" w:rsidRPr="00954D6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i de c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tre 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>toți titularii de licențe acordate de c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ătre ANRE pentru desfăşurarea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activităţi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lor din domeniile prev</w:t>
      </w:r>
      <w:r w:rsidR="002149AE" w:rsidRPr="00954D6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zute</w:t>
      </w:r>
      <w:r w:rsidR="00032E5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D643CE" w:rsidRPr="00954D65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032E5E" w:rsidRPr="00954D65"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:rsidR="00304C82" w:rsidRPr="00954D65" w:rsidRDefault="00D643CE" w:rsidP="00586A0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Sectiunea a 2-a </w:t>
      </w:r>
    </w:p>
    <w:p w:rsidR="00D61657" w:rsidRPr="00954D65" w:rsidRDefault="00833D21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D61657" w:rsidRPr="00954D65">
        <w:rPr>
          <w:rFonts w:ascii="Times New Roman" w:hAnsi="Times New Roman" w:cs="Times New Roman"/>
          <w:b/>
          <w:sz w:val="28"/>
          <w:szCs w:val="28"/>
          <w:lang w:val="ro-RO"/>
        </w:rPr>
        <w:t>efiniții</w:t>
      </w:r>
    </w:p>
    <w:p w:rsidR="00D61657" w:rsidRPr="00954D65" w:rsidRDefault="00F94006" w:rsidP="004B2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3</w:t>
      </w:r>
      <w:r w:rsidR="00D643C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954D65" w:rsidRPr="00954D6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4D65" w:rsidRPr="00954D65">
        <w:rPr>
          <w:rFonts w:ascii="Times New Roman" w:hAnsi="Times New Roman" w:cs="Times New Roman"/>
          <w:sz w:val="28"/>
          <w:szCs w:val="28"/>
          <w:lang w:val="ro-RO"/>
        </w:rPr>
        <w:t>Termenii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utiliza</w:t>
      </w:r>
      <w:r w:rsidR="00954D6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54D65" w:rsidRPr="00954D6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D61657" w:rsidRPr="00AB3120">
        <w:rPr>
          <w:rFonts w:ascii="Times New Roman" w:hAnsi="Times New Roman" w:cs="Times New Roman"/>
          <w:sz w:val="28"/>
          <w:szCs w:val="28"/>
          <w:lang w:val="ro-RO"/>
        </w:rPr>
        <w:t>cuprinsul prezente</w:t>
      </w:r>
      <w:r w:rsidR="00DB237F" w:rsidRPr="00AB3120">
        <w:rPr>
          <w:rFonts w:ascii="Times New Roman" w:hAnsi="Times New Roman" w:cs="Times New Roman"/>
          <w:sz w:val="28"/>
          <w:szCs w:val="28"/>
          <w:lang w:val="ro-RO"/>
        </w:rPr>
        <w:t>i metodologii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au semnificaţiile prevăzute în reg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lementările specifice domeniilor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energiei electrice, energiei ter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mice, gazelor naturale şi </w:t>
      </w:r>
      <w:r w:rsidR="00E425F8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actel</w:t>
      </w:r>
      <w:r w:rsidR="00E425F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normative în vigoare.</w:t>
      </w:r>
    </w:p>
    <w:p w:rsidR="00D61657" w:rsidRPr="00954D65" w:rsidRDefault="00D61657" w:rsidP="0058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1657" w:rsidRPr="00954D65" w:rsidRDefault="00F94006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4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>Termenii şi expresiile de mai jos au următoarele semnificaţii:</w:t>
      </w:r>
    </w:p>
    <w:p w:rsidR="00963C3B" w:rsidRPr="00954D65" w:rsidRDefault="00D61657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Pr="004B2F93">
        <w:rPr>
          <w:rFonts w:ascii="Times New Roman" w:hAnsi="Times New Roman" w:cs="Times New Roman"/>
          <w:b/>
          <w:sz w:val="28"/>
          <w:szCs w:val="28"/>
          <w:lang w:val="ro-RO"/>
        </w:rPr>
        <w:t>activități licențiate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6062CF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activitățile ce formează obiectul licențelor acordate de către ANRE în </w:t>
      </w:r>
      <w:r w:rsidR="00963C3B" w:rsidRPr="00954D65">
        <w:rPr>
          <w:rFonts w:ascii="Times New Roman" w:hAnsi="Times New Roman" w:cs="Times New Roman"/>
          <w:sz w:val="28"/>
          <w:szCs w:val="28"/>
          <w:lang w:val="ro-RO"/>
        </w:rPr>
        <w:t>domeniul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energiei electrice,  </w:t>
      </w:r>
      <w:r w:rsidR="00963C3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al energiei electrice și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termice</w:t>
      </w:r>
      <w:r w:rsidR="00963C3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cogenerare și al gazelor naturale,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așa cum sunt definite de cadrul legislativ și detaliate în </w:t>
      </w:r>
      <w:r w:rsidR="00963C3B" w:rsidRPr="00954D65">
        <w:rPr>
          <w:rFonts w:ascii="Times New Roman" w:hAnsi="Times New Roman" w:cs="Times New Roman"/>
          <w:sz w:val="28"/>
          <w:szCs w:val="28"/>
          <w:lang w:val="ro-RO"/>
        </w:rPr>
        <w:t>reglementările aprobate de ANRE;</w:t>
      </w:r>
    </w:p>
    <w:p w:rsidR="00AE3A85" w:rsidRPr="00954D65" w:rsidRDefault="00963C3B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b) </w:t>
      </w:r>
      <w:r w:rsidR="00D61657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B2F93">
        <w:rPr>
          <w:rFonts w:ascii="Times New Roman" w:hAnsi="Times New Roman" w:cs="Times New Roman"/>
          <w:b/>
          <w:sz w:val="28"/>
          <w:szCs w:val="28"/>
          <w:lang w:val="ro-RO"/>
        </w:rPr>
        <w:t>titular de licențe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- persoană fizică sau juridică, deținătoare a uneia sau a mai multor licențe acordate de către ANRE în domeniul energiei electrice</w:t>
      </w:r>
      <w:r w:rsidR="00B5619B" w:rsidRPr="00954D6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al energiei electrice și termice în cogenerare ș</w:t>
      </w:r>
      <w:r w:rsidR="00B647A9" w:rsidRPr="00954D65">
        <w:rPr>
          <w:rFonts w:ascii="Times New Roman" w:hAnsi="Times New Roman" w:cs="Times New Roman"/>
          <w:sz w:val="28"/>
          <w:szCs w:val="28"/>
          <w:lang w:val="ro-RO"/>
        </w:rPr>
        <w:t>i al gazelor naturale;</w:t>
      </w:r>
    </w:p>
    <w:p w:rsidR="006062CF" w:rsidRPr="00954D65" w:rsidRDefault="00D643CE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957C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716418" w:rsidRPr="00954D65">
        <w:rPr>
          <w:rFonts w:ascii="Times New Roman" w:hAnsi="Times New Roman" w:cs="Times New Roman"/>
          <w:b/>
          <w:sz w:val="28"/>
          <w:szCs w:val="28"/>
          <w:lang w:val="ro-RO"/>
        </w:rPr>
        <w:t>cifra de afaceri</w:t>
      </w:r>
      <w:r w:rsidR="006062CF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6418" w:rsidRPr="00954D6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EB7C8A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cifra de afaceri determinată</w:t>
      </w:r>
      <w:r w:rsidR="00716418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conform prevederilor actelor normative emise de către Ministerul de</w:t>
      </w:r>
      <w:r w:rsidR="006062CF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Finanţe Publice în acest sens</w:t>
      </w:r>
      <w:r w:rsidR="00667074" w:rsidRPr="00954D65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72764D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957C1" w:rsidRPr="00954D65" w:rsidRDefault="00D643CE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957C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9957C1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contribuția </w:t>
      </w:r>
      <w:r w:rsidR="007E419F" w:rsidRPr="00954D65">
        <w:rPr>
          <w:rFonts w:ascii="Times New Roman" w:hAnsi="Times New Roman" w:cs="Times New Roman"/>
          <w:b/>
          <w:sz w:val="28"/>
          <w:szCs w:val="28"/>
          <w:lang w:val="ro-RO"/>
        </w:rPr>
        <w:t>bănească</w:t>
      </w:r>
      <w:r w:rsidR="008776C4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A386B" w:rsidRPr="00954D65">
        <w:rPr>
          <w:rFonts w:ascii="Times New Roman" w:hAnsi="Times New Roman" w:cs="Times New Roman"/>
          <w:b/>
          <w:sz w:val="28"/>
          <w:szCs w:val="28"/>
          <w:lang w:val="ro-RO"/>
        </w:rPr>
        <w:t>anual</w:t>
      </w:r>
      <w:r w:rsidR="008543F9" w:rsidRPr="00954D6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9A386B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6C4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- suma de bani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datorată</w:t>
      </w:r>
      <w:r w:rsidR="00667074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anual ANRE</w:t>
      </w:r>
      <w:r w:rsidR="008776C4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 w:rsidR="00667074" w:rsidRPr="00954D65"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="008776C4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titularii de licență</w:t>
      </w:r>
      <w:r w:rsidR="00667074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6C4" w:rsidRPr="00954D65">
        <w:rPr>
          <w:rFonts w:ascii="Times New Roman" w:hAnsi="Times New Roman" w:cs="Times New Roman"/>
          <w:sz w:val="28"/>
          <w:szCs w:val="28"/>
          <w:lang w:val="ro-RO"/>
        </w:rPr>
        <w:t>pe întreaga durată de vala</w:t>
      </w:r>
      <w:r w:rsidR="0072764D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bilitate a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licenț</w:t>
      </w:r>
      <w:r w:rsidR="00667074" w:rsidRPr="00954D65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, stabilită</w:t>
      </w:r>
      <w:r w:rsidR="0072764D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potrivit reglementărilor î</w:t>
      </w:r>
      <w:r w:rsidR="0072764D" w:rsidRPr="00954D65">
        <w:rPr>
          <w:rFonts w:ascii="Times New Roman" w:hAnsi="Times New Roman" w:cs="Times New Roman"/>
          <w:sz w:val="28"/>
          <w:szCs w:val="28"/>
          <w:lang w:val="ro-RO"/>
        </w:rPr>
        <w:t>n vigoare;</w:t>
      </w:r>
    </w:p>
    <w:p w:rsidR="00D643CE" w:rsidRPr="00954D65" w:rsidRDefault="00D643CE" w:rsidP="00586A0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43E71" w:rsidRPr="00954D65" w:rsidRDefault="00D643CE" w:rsidP="00586A0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Capitolul II - </w:t>
      </w:r>
      <w:r w:rsidR="009D0C93" w:rsidRPr="00954D65">
        <w:rPr>
          <w:rFonts w:ascii="Times New Roman" w:hAnsi="Times New Roman" w:cs="Times New Roman"/>
          <w:b/>
          <w:sz w:val="28"/>
          <w:szCs w:val="28"/>
          <w:lang w:val="ro-RO"/>
        </w:rPr>
        <w:t>Modalitatea de calcul a</w:t>
      </w:r>
      <w:r w:rsidR="0022619B"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5124" w:rsidRPr="00954D65">
        <w:rPr>
          <w:rFonts w:ascii="Times New Roman" w:hAnsi="Times New Roman" w:cs="Times New Roman"/>
          <w:b/>
          <w:sz w:val="28"/>
          <w:szCs w:val="28"/>
          <w:lang w:val="ro-RO"/>
        </w:rPr>
        <w:t>contribuției bănești</w:t>
      </w:r>
    </w:p>
    <w:p w:rsidR="00F94006" w:rsidRPr="00954D65" w:rsidRDefault="00F94006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44D">
        <w:rPr>
          <w:rFonts w:ascii="Times New Roman" w:hAnsi="Times New Roman" w:cs="Times New Roman"/>
          <w:sz w:val="28"/>
          <w:szCs w:val="28"/>
          <w:lang w:val="ro-RO"/>
        </w:rPr>
        <w:t>Art. 5. (1)</w:t>
      </w: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Titularii licențelor acordate de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în domeniul energiei electrice ș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i/sau al gazelor naturale au obligația de a plăti anual </w:t>
      </w:r>
      <w:r w:rsidR="00E425F8">
        <w:rPr>
          <w:rFonts w:ascii="Times New Roman" w:hAnsi="Times New Roman" w:cs="Times New Roman"/>
          <w:sz w:val="28"/>
          <w:szCs w:val="28"/>
          <w:lang w:val="ro-RO"/>
        </w:rPr>
        <w:t xml:space="preserve">ANRE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o contribuție bănească egală cu 2% din cifra de afaceri realizată în anul precedent din activitățile ce fac obiectul licențelor acordate.</w:t>
      </w:r>
    </w:p>
    <w:p w:rsidR="00F94006" w:rsidRPr="00954D65" w:rsidRDefault="00F94006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(2) Titularii licențelor acordate de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în domeniul energiei electrice și termice î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n cogenerare au obligația de a plăti anual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="00BB10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o contribuție bănească egală cu 2% din cifra de afaceri realizată în anul precedent din activitățile ce fac obiectul licențelor acordate pen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tru componenta energie electrică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94006" w:rsidRDefault="00F94006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6. </w:t>
      </w:r>
      <w:r w:rsidR="00A336E2"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Contribuția bănească calculată conform prevederilor art. 5, referitoare la cifra de afaceri realizată în Rom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nia, </w:t>
      </w:r>
      <w:r w:rsidRPr="00A336E2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833D21" w:rsidRPr="00A336E2">
        <w:rPr>
          <w:rFonts w:ascii="Times New Roman" w:hAnsi="Times New Roman" w:cs="Times New Roman"/>
          <w:sz w:val="28"/>
          <w:szCs w:val="28"/>
          <w:lang w:val="ro-RO"/>
        </w:rPr>
        <w:t>datorează și de că</w:t>
      </w:r>
      <w:r w:rsidRPr="00A336E2">
        <w:rPr>
          <w:rFonts w:ascii="Times New Roman" w:hAnsi="Times New Roman" w:cs="Times New Roman"/>
          <w:sz w:val="28"/>
          <w:szCs w:val="28"/>
          <w:lang w:val="ro-RO"/>
        </w:rPr>
        <w:t xml:space="preserve">tre operatorii economici străini, cu sediul social într-unul din statele membre ale Uniunii Europene, </w:t>
      </w:r>
      <w:r w:rsidR="007B7731" w:rsidRPr="00A336E2">
        <w:rPr>
          <w:rFonts w:ascii="Times New Roman" w:hAnsi="Times New Roman" w:cs="Times New Roman"/>
          <w:sz w:val="28"/>
          <w:szCs w:val="28"/>
          <w:lang w:val="ro-RO"/>
        </w:rPr>
        <w:t>beneficiari ai deciziilor de confirmare</w:t>
      </w:r>
      <w:r w:rsidR="007B773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prevăzute în Regulamentul pentru acordarea autorizațiilor de înființare și a licențelor în sectorul gazelor naturale, aprobat prin Ordinul președintelui Autorit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ății Naționale de Reglementare î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n Domeniul Energiei nr. 34/2013, cu modificările şi completările ulterioare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 sau î</w:t>
      </w:r>
      <w:r w:rsidR="00050449" w:rsidRPr="00954D65">
        <w:rPr>
          <w:rFonts w:ascii="Times New Roman" w:hAnsi="Times New Roman" w:cs="Times New Roman"/>
          <w:sz w:val="28"/>
          <w:szCs w:val="28"/>
          <w:lang w:val="ro-RO"/>
        </w:rPr>
        <w:t>n Regulamentul pentru acordarea licențelor și autorizațiilor în sectorul energiei electrice, aprobat prin Ordinul președintelui Autorității Naționale de Reglementare în Domeniul Energiei nr. 12/2015, cu modificările și completările ulterioare</w:t>
      </w:r>
      <w:r w:rsidR="00BB1090" w:rsidRPr="00A336E2">
        <w:rPr>
          <w:rFonts w:ascii="Times New Roman" w:hAnsi="Times New Roman" w:cs="Times New Roman"/>
          <w:sz w:val="28"/>
          <w:szCs w:val="28"/>
          <w:lang w:val="ro-RO"/>
        </w:rPr>
        <w:t>, după caz</w:t>
      </w:r>
      <w:r w:rsidRPr="00A336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6E2" w:rsidRPr="00954D65" w:rsidRDefault="00A336E2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(2) In intelesul prezente</w:t>
      </w:r>
      <w:r w:rsidR="00DB237F">
        <w:rPr>
          <w:rFonts w:ascii="Times New Roman" w:hAnsi="Times New Roman" w:cs="Times New Roman"/>
          <w:sz w:val="28"/>
          <w:szCs w:val="28"/>
          <w:lang w:val="ro-RO"/>
        </w:rPr>
        <w:t>i metodologii</w:t>
      </w:r>
      <w:r>
        <w:rPr>
          <w:rFonts w:ascii="Times New Roman" w:hAnsi="Times New Roman" w:cs="Times New Roman"/>
          <w:sz w:val="28"/>
          <w:szCs w:val="28"/>
          <w:lang w:val="ro-RO"/>
        </w:rPr>
        <w:t>, deciziile de confirmare</w:t>
      </w:r>
      <w:r w:rsidR="00703B86">
        <w:rPr>
          <w:rFonts w:ascii="Times New Roman" w:hAnsi="Times New Roman" w:cs="Times New Roman"/>
          <w:sz w:val="28"/>
          <w:szCs w:val="28"/>
          <w:lang w:val="ro-RO"/>
        </w:rPr>
        <w:t xml:space="preserve"> prevazute la alin. (1) sunt asimilate licentelor emise de catre ANRE.</w:t>
      </w:r>
    </w:p>
    <w:p w:rsidR="00050449" w:rsidRDefault="00050449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7. – </w:t>
      </w:r>
      <w:r w:rsidR="0064054E"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Titularii de licente, inclusiv cei prevazuti la art. 6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vor comunica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, prin scrisoare oficială semnată de reprezentantul legal sau de o persoană împuternicită de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 acesta, conform modelului prevăzut în anexa nr. 1 sau 2, după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caz,  </w:t>
      </w:r>
      <w:r w:rsidRPr="00954D65">
        <w:rPr>
          <w:rFonts w:ascii="Times New Roman" w:hAnsi="Times New Roman" w:cs="Times New Roman"/>
          <w:b/>
          <w:sz w:val="28"/>
          <w:szCs w:val="28"/>
          <w:lang w:val="ro-RO"/>
        </w:rPr>
        <w:t>până la data de 20 februarie,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valoarea cifrei de afaceri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lastRenderedPageBreak/>
        <w:t>estimate a fi realizată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71F" w:rsidRPr="00954D6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anul precedent </w:t>
      </w:r>
      <w:r w:rsidR="00A9271F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din activitățile ce fac obiectul licențelor </w:t>
      </w:r>
      <w:r w:rsidR="00A336E2">
        <w:rPr>
          <w:rFonts w:ascii="Times New Roman" w:hAnsi="Times New Roman" w:cs="Times New Roman"/>
          <w:sz w:val="28"/>
          <w:szCs w:val="28"/>
          <w:lang w:val="ro-RO"/>
        </w:rPr>
        <w:t>detinute.</w:t>
      </w:r>
    </w:p>
    <w:p w:rsidR="0064054E" w:rsidRPr="00954D65" w:rsidRDefault="0064054E" w:rsidP="006405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 cazul 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 care t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itularii de licen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nu respect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termenul prev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zut la alin. (1), ANRE </w:t>
      </w:r>
      <w:r w:rsidR="007757BE">
        <w:rPr>
          <w:rFonts w:ascii="Times New Roman" w:hAnsi="Times New Roman" w:cs="Times New Roman"/>
          <w:sz w:val="28"/>
          <w:szCs w:val="28"/>
          <w:lang w:val="ro-RO"/>
        </w:rPr>
        <w:t>calculeaz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contribu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datorat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baza ultimei cifre de afaceri raportate la Ministerul Finan</w:t>
      </w:r>
      <w:r w:rsidR="004B244D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elor Publice. </w:t>
      </w:r>
    </w:p>
    <w:p w:rsidR="00A9271F" w:rsidRPr="00954D65" w:rsidRDefault="00050449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8. </w:t>
      </w:r>
      <w:r w:rsidR="00A9271F" w:rsidRPr="00954D65">
        <w:rPr>
          <w:rFonts w:ascii="Times New Roman" w:hAnsi="Times New Roman" w:cs="Times New Roman"/>
          <w:sz w:val="28"/>
          <w:szCs w:val="28"/>
          <w:lang w:val="ro-RO"/>
        </w:rPr>
        <w:t>– (1)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În situatia î</w:t>
      </w:r>
      <w:r w:rsidR="00A9271F" w:rsidRPr="00954D65">
        <w:rPr>
          <w:rFonts w:ascii="Times New Roman" w:hAnsi="Times New Roman" w:cs="Times New Roman"/>
          <w:sz w:val="28"/>
          <w:szCs w:val="28"/>
          <w:lang w:val="ro-RO"/>
        </w:rPr>
        <w:t>n care anul curent este anul de expirare a valabilității sau de retragere a licenței, ANRE facturează titularului licenței contribuția a cărei valoare se determină astfel: valoarea calculată în conformitate cu prevederile art. 5 se ponderează cu raportul dintre durata de valabilitate a licenței în anul curent, e</w:t>
      </w:r>
      <w:r w:rsidR="00703B86">
        <w:rPr>
          <w:rFonts w:ascii="Times New Roman" w:hAnsi="Times New Roman" w:cs="Times New Roman"/>
          <w:sz w:val="28"/>
          <w:szCs w:val="28"/>
          <w:lang w:val="ro-RO"/>
        </w:rPr>
        <w:t>xprimată în zile calendaristice</w:t>
      </w:r>
      <w:r w:rsidR="00A9271F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și numărul de zile ale anului calendaristic.</w:t>
      </w:r>
    </w:p>
    <w:p w:rsidR="00050449" w:rsidRPr="00954D65" w:rsidRDefault="00A9271F" w:rsidP="004B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(2) Prevederile alin. (1)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sunt aplicabile în situația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care valabilitatea licenț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ei expiră în anul </w:t>
      </w:r>
      <w:r w:rsidR="00703B86">
        <w:rPr>
          <w:rFonts w:ascii="Times New Roman" w:hAnsi="Times New Roman" w:cs="Times New Roman"/>
          <w:sz w:val="28"/>
          <w:szCs w:val="28"/>
          <w:lang w:val="ro-RO"/>
        </w:rPr>
        <w:t>curent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 xml:space="preserve"> ș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nu se solicită sau nu se aprobă modificarea respectivei licențe în scopul de a se prelungi valabilitatea acesteia, cel puțin până la un termen din anul următor.</w:t>
      </w:r>
    </w:p>
    <w:p w:rsidR="00F4408E" w:rsidRPr="00954D65" w:rsidRDefault="00F4408E" w:rsidP="004B244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9. - Titularul de licență care în cursul anului curent preia integral activitatea desfășurată pe baza unei licențe de același tip de către un alt titular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va asigura achitarea completă a contribuț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iei pentru anul curent aferentă activităț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ii licen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iate preluate de la titularul de licență care își încetează activitatea.</w:t>
      </w:r>
    </w:p>
    <w:p w:rsidR="00F4408E" w:rsidRPr="00954D65" w:rsidRDefault="00F4408E" w:rsidP="004B244D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10. - Titularul de licență care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cursul anului precedent a preluat integral activitatea desfășurată pe baza unei licențe de același </w:t>
      </w:r>
      <w:r w:rsidR="00833D21">
        <w:rPr>
          <w:rFonts w:ascii="Times New Roman" w:hAnsi="Times New Roman" w:cs="Times New Roman"/>
          <w:sz w:val="28"/>
          <w:szCs w:val="28"/>
          <w:lang w:val="ro-RO"/>
        </w:rPr>
        <w:t>tip de la alt titular de licenţă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4408E" w:rsidRPr="00954D65" w:rsidRDefault="00F4408E" w:rsidP="00586A0E">
      <w:pPr>
        <w:ind w:left="720" w:hanging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a)   va transmite prin scrisoarea prevăzută la art. 7 atât valoarea cifrei de afaceri pe care a realizat-o în anul precedent, de la momentul preluării activităţii ce face obiectul licenţei, cât şi valoarea cifrei de afaceri realizate în anul </w:t>
      </w:r>
      <w:r w:rsidR="004E70EE" w:rsidRPr="00954D65">
        <w:rPr>
          <w:rFonts w:ascii="Times New Roman" w:hAnsi="Times New Roman" w:cs="Times New Roman"/>
          <w:sz w:val="28"/>
          <w:szCs w:val="28"/>
          <w:lang w:val="ro-RO"/>
        </w:rPr>
        <w:t>precedent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, până l</w:t>
      </w:r>
      <w:r w:rsidR="004E70EE" w:rsidRPr="00954D65">
        <w:rPr>
          <w:rFonts w:ascii="Times New Roman" w:hAnsi="Times New Roman" w:cs="Times New Roman"/>
          <w:sz w:val="28"/>
          <w:szCs w:val="28"/>
          <w:lang w:val="ro-RO"/>
        </w:rPr>
        <w:t>a momentul predării activită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ţii</w:t>
      </w:r>
      <w:r w:rsidR="00CF318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318C">
        <w:rPr>
          <w:rFonts w:ascii="Times New Roman" w:hAnsi="Times New Roman" w:cs="Times New Roman"/>
          <w:sz w:val="28"/>
          <w:szCs w:val="28"/>
          <w:lang w:val="ro-RO"/>
        </w:rPr>
        <w:t>conform modelului prevă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zut î</w:t>
      </w:r>
      <w:r w:rsidR="004E70E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n anexele nr. </w:t>
      </w:r>
      <w:r w:rsidR="0021211C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3 si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4, după</w:t>
      </w:r>
      <w:r w:rsidR="004E70E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caz;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4408E" w:rsidRPr="00954D65" w:rsidRDefault="004E70EE" w:rsidP="00586A0E">
      <w:pPr>
        <w:ind w:left="720" w:hanging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b)  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va achita o contribuţie calculată la valoarea totală rezultată din însumarea valorii cifrei de afaceri 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>obtinute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anul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precedent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 xml:space="preserve"> din activitatea licentiata de catre ANRE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cu cea a cifrei de afaceri obţinute în anul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 xml:space="preserve">precedent 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>din activitatea</w:t>
      </w:r>
      <w:r w:rsidR="00D55EC0" w:rsidRPr="00D55EC0">
        <w:rPr>
          <w:rFonts w:ascii="Times New Roman" w:hAnsi="Times New Roman" w:cs="Times New Roman"/>
          <w:sz w:val="28"/>
          <w:szCs w:val="28"/>
          <w:lang w:val="ro-RO"/>
        </w:rPr>
        <w:t xml:space="preserve"> ce fac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>e obiectul licenței</w:t>
      </w:r>
      <w:r w:rsidR="00D55EC0" w:rsidRPr="00D55EC0">
        <w:rPr>
          <w:rFonts w:ascii="Times New Roman" w:hAnsi="Times New Roman" w:cs="Times New Roman"/>
          <w:sz w:val="28"/>
          <w:szCs w:val="28"/>
          <w:lang w:val="ro-RO"/>
        </w:rPr>
        <w:t xml:space="preserve"> detinute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de către titularul de licență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 xml:space="preserve">a carui activitate licentiata a fost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preluat</w:t>
      </w:r>
      <w:r w:rsidR="00D55EC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4408E"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94059" w:rsidRPr="00954D65" w:rsidRDefault="0021211C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11. </w:t>
      </w:r>
      <w:r w:rsidR="007757BE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57BE">
        <w:rPr>
          <w:rFonts w:ascii="Times New Roman" w:hAnsi="Times New Roman" w:cs="Times New Roman"/>
          <w:sz w:val="28"/>
          <w:szCs w:val="28"/>
          <w:lang w:val="ro-RO"/>
        </w:rPr>
        <w:t>Pentru titlularii de licente a caror contribuție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bănească</w:t>
      </w:r>
      <w:r w:rsidR="007757BE">
        <w:rPr>
          <w:rFonts w:ascii="Times New Roman" w:hAnsi="Times New Roman" w:cs="Times New Roman"/>
          <w:sz w:val="28"/>
          <w:szCs w:val="28"/>
          <w:lang w:val="ro-RO"/>
        </w:rPr>
        <w:t xml:space="preserve"> este superioara nivelului de 5000 lei, aceasta se poate 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achita în </w:t>
      </w:r>
      <w:r w:rsidR="00494059" w:rsidRPr="007757BE">
        <w:rPr>
          <w:rFonts w:ascii="Times New Roman" w:hAnsi="Times New Roman" w:cs="Times New Roman"/>
          <w:sz w:val="28"/>
          <w:szCs w:val="28"/>
          <w:lang w:val="ro-RO"/>
        </w:rPr>
        <w:t>rate trimestriale egale; termenul de achitare a fiecăreia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dintre aceste rate este sfârșitul primei luni 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a trimestrului respectiv, cu excepția primei rate care se achită potrivit termenului scadent înscris în factura emisă de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77128" w:rsidRPr="00954D65" w:rsidRDefault="00494059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12. </w:t>
      </w:r>
      <w:r w:rsidR="00B46806" w:rsidRPr="00954D6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6806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n vedere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a regularizarii contribuției băneș</w:t>
      </w:r>
      <w:r w:rsidR="00B46806" w:rsidRPr="00954D6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i datorate, titularii de licență</w:t>
      </w:r>
      <w:r w:rsidR="00B46806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vor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transmite la ANRE, cel tâ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rziu p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ână la data limită prevăzută de lege pentru depunerea situaț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iilor financiare anuale la autoritatea de administrare fiscal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ă din Româ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nia:</w:t>
      </w:r>
    </w:p>
    <w:p w:rsidR="00177128" w:rsidRPr="00954D65" w:rsidRDefault="004E7079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a) cifra de afaceri realizată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în anul </w:t>
      </w:r>
      <w:r>
        <w:rPr>
          <w:rFonts w:ascii="Times New Roman" w:hAnsi="Times New Roman" w:cs="Times New Roman"/>
          <w:sz w:val="28"/>
          <w:szCs w:val="28"/>
          <w:lang w:val="ro-RO"/>
        </w:rPr>
        <w:t>precedent din activitățile prevă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zute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 5, conform modelelor prevăzute în anexele nr. 3 sau 4, după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caz;</w:t>
      </w:r>
    </w:p>
    <w:p w:rsidR="00177128" w:rsidRPr="00954D65" w:rsidRDefault="004E7079" w:rsidP="00586A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b) situaț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iile financ</w:t>
      </w:r>
      <w:r>
        <w:rPr>
          <w:rFonts w:ascii="Times New Roman" w:hAnsi="Times New Roman" w:cs="Times New Roman"/>
          <w:sz w:val="28"/>
          <w:szCs w:val="28"/>
          <w:lang w:val="ro-RO"/>
        </w:rPr>
        <w:t>iare aferente anului precedent î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nregistrate la autoritatea de admin</w:t>
      </w:r>
      <w:r>
        <w:rPr>
          <w:rFonts w:ascii="Times New Roman" w:hAnsi="Times New Roman" w:cs="Times New Roman"/>
          <w:sz w:val="28"/>
          <w:szCs w:val="28"/>
          <w:lang w:val="ro-RO"/>
        </w:rPr>
        <w:t>istrare fiscală din Româ</w:t>
      </w:r>
      <w:r w:rsidR="00177128" w:rsidRPr="00954D65">
        <w:rPr>
          <w:rFonts w:ascii="Times New Roman" w:hAnsi="Times New Roman" w:cs="Times New Roman"/>
          <w:sz w:val="28"/>
          <w:szCs w:val="28"/>
          <w:lang w:val="ro-RO"/>
        </w:rPr>
        <w:t>nia.</w:t>
      </w:r>
    </w:p>
    <w:p w:rsidR="00177128" w:rsidRDefault="00177128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>Regularizarea contribuției bănești constă în facturarea diferenței dintre valoarea contribuției facturate inițial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4059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la începutul anului, și valoarea contribuției determinate pe baza cifrei de afaceri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realizate.</w:t>
      </w:r>
    </w:p>
    <w:p w:rsidR="000F593B" w:rsidRDefault="000F593B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(3) Titularul de licenta are obligatia de a raspunde notificarilor emise de catre ANRE referitoare la corectitudinea si completitudinea datelor prevazute la alin. (1) in termen de maximum 10 zile lucratoare de la primirea notificarii.</w:t>
      </w:r>
    </w:p>
    <w:p w:rsidR="000F593B" w:rsidRDefault="000F593B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(4) In cazul netransmiterii datelor solicitate in termenul prevazut la alin. (3) sau al transmiterii eronate a acestora</w:t>
      </w:r>
      <w:r w:rsidR="00D41BF5">
        <w:rPr>
          <w:rFonts w:ascii="Times New Roman" w:hAnsi="Times New Roman" w:cs="Times New Roman"/>
          <w:sz w:val="28"/>
          <w:szCs w:val="28"/>
          <w:lang w:val="ro-RO"/>
        </w:rPr>
        <w:t xml:space="preserve"> in urma primirii notificarii</w:t>
      </w:r>
      <w:r>
        <w:rPr>
          <w:rFonts w:ascii="Times New Roman" w:hAnsi="Times New Roman" w:cs="Times New Roman"/>
          <w:sz w:val="28"/>
          <w:szCs w:val="28"/>
          <w:lang w:val="ro-RO"/>
        </w:rPr>
        <w:t>, ANRE va regulariza contributia datorata pe baza ultimei cifre de afaceri raportate la Ministerul Finantelor Publice.</w:t>
      </w:r>
    </w:p>
    <w:p w:rsidR="000F593B" w:rsidRPr="00954D65" w:rsidRDefault="000F593B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(5) Regularizarea contributiei banesti se va desfasura in perioada 1 iunie – 31 decembrie a anului curent.</w:t>
      </w:r>
    </w:p>
    <w:p w:rsidR="00DB7771" w:rsidRPr="00954D65" w:rsidRDefault="006F683A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13. - 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Durata de suspendare a unei licențe, care este precizată în decizia emisă în acest scop de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>, nu diminuează valoarea contribuției percepute de la titularul licenței pentru anul în care se înregistrează suspendarea acesteia.</w:t>
      </w:r>
    </w:p>
    <w:p w:rsidR="00DB7771" w:rsidRPr="00954D65" w:rsidRDefault="004E7079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Art. 14. – Î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n cazul titularului care deține mai multe licențe acordate de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>, iar în cursul anului de facturare a contribuției datorate</w:t>
      </w:r>
      <w:r w:rsidR="00162F14">
        <w:rPr>
          <w:rFonts w:ascii="Times New Roman" w:hAnsi="Times New Roman" w:cs="Times New Roman"/>
          <w:sz w:val="28"/>
          <w:szCs w:val="28"/>
          <w:lang w:val="ro-RO"/>
        </w:rPr>
        <w:t xml:space="preserve"> expira valabilitatea unei licente sau i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2F14">
        <w:rPr>
          <w:rFonts w:ascii="Times New Roman" w:hAnsi="Times New Roman" w:cs="Times New Roman"/>
          <w:sz w:val="28"/>
          <w:szCs w:val="28"/>
          <w:lang w:val="ro-RO"/>
        </w:rPr>
        <w:t>se retrage o licenta</w:t>
      </w:r>
      <w:r w:rsidR="00DB7771" w:rsidRPr="00954D65">
        <w:rPr>
          <w:rFonts w:ascii="Times New Roman" w:hAnsi="Times New Roman" w:cs="Times New Roman"/>
          <w:sz w:val="28"/>
          <w:szCs w:val="28"/>
          <w:lang w:val="ro-RO"/>
        </w:rPr>
        <w:t>, calculul de regularizare a contribuției bănești se efectuează astfel: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a) cifra de afaceri </w:t>
      </w:r>
      <w:r w:rsidR="0082010D">
        <w:rPr>
          <w:rFonts w:ascii="Times New Roman" w:hAnsi="Times New Roman" w:cs="Times New Roman"/>
          <w:sz w:val="28"/>
          <w:szCs w:val="28"/>
          <w:lang w:val="ro-RO"/>
        </w:rPr>
        <w:t xml:space="preserve">realizata, 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aferentă activității desfășurate în anul precedent, pe baza licenței a cărei valabilitate a expirat sau care a fost retrasă în cursul anului de facturare, se ponderează cu raportul dintre numărul de zile din anul de facturare/regularizare a contribuției, în care licența a fost valabilă, și numărul total de zile ale anului respectiv;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b) la regularizarea contribuției bănești, cifra de afaceri realizată - totalul aferent anului precedent, care constituie baza de calcul pentru regularizare - este suma cifrelor de afaceri realizate din activitățile desfășurate în anul precedent pe bază de licențe, iar una dintre aceste cifre de afaceri este aceea care a fost determinată potrivit celor </w:t>
      </w:r>
      <w:r w:rsidR="0082010D">
        <w:rPr>
          <w:rFonts w:ascii="Times New Roman" w:hAnsi="Times New Roman" w:cs="Times New Roman"/>
          <w:sz w:val="28"/>
          <w:szCs w:val="28"/>
          <w:lang w:val="ro-RO"/>
        </w:rPr>
        <w:t>prevazute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la lit. a);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c) regularizarea contribuției bănești constă în facturarea diferenței dintre valoarea contribuției facturate inițial, la începutul anului, și valoarea contribuției determinate pe baza cifrei de afaceri realizate, stabilite conform celor </w:t>
      </w:r>
      <w:r w:rsidR="0082010D">
        <w:rPr>
          <w:rFonts w:ascii="Times New Roman" w:hAnsi="Times New Roman" w:cs="Times New Roman"/>
          <w:sz w:val="28"/>
          <w:szCs w:val="28"/>
          <w:lang w:val="ro-RO"/>
        </w:rPr>
        <w:t>prevazute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la lit. b).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15. – La regularizarea contribuțiilor bănești, creanțele sau datoriile ce pot apărea în raport cu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, care sunt mai mici de 10 lei, se anulează.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16. - Dacă în urma regularizării contribuțiilor bănești rezultă sume pe care </w:t>
      </w:r>
      <w:r w:rsidR="00BB1090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le datorează titularilor de licențe, aceste sume se vor constitui ca avans pentru contribuția bănească datorată de respectivii titulari de licențe în anul următor, numai dacă sunt îndeplinite simultan următoarele condiții: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a) au achitat contribuția bănească aferentă anului în curs;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b) dețin cel puțin o licență valabilă, atât în anul în curs, cât și în anul următor.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. 17. – (1) Titularul de licență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din domeniul energiei electrice sau domeniul energiei electrice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i ter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mice în cogenerare care a obținut licența î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n anul curent achită </w:t>
      </w:r>
      <w:r w:rsidR="008C0AAF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o contribuție bănească în valoare de 2% din cifra de afaceri pe care acesta a estimat că o va realiza, prin prestarea activităților ce fac obiectul licenței acordate, în anul acordării acesteia.</w:t>
      </w:r>
    </w:p>
    <w:p w:rsidR="00DB7771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(2) La solicit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area de acordare a unei licențe în domeniul gazelor naturale î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n anul cure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nt, solicitantul este obligat să transmită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ANRE cifra de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afaceri pe care acesta estimează că o va realiza î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 xml:space="preserve"> anul respectiv. Ulterior acordării licenț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ei, acesta achită </w:t>
      </w:r>
      <w:r w:rsidR="008C0AAF" w:rsidRPr="00BB1090">
        <w:rPr>
          <w:rFonts w:ascii="Times New Roman" w:hAnsi="Times New Roman" w:cs="Times New Roman"/>
          <w:sz w:val="28"/>
          <w:szCs w:val="28"/>
          <w:lang w:val="ro-RO"/>
        </w:rPr>
        <w:t>ANRE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o contribuție bănească care este egală cu </w:t>
      </w:r>
      <w:r w:rsidR="004E7079">
        <w:rPr>
          <w:rFonts w:ascii="Times New Roman" w:hAnsi="Times New Roman" w:cs="Times New Roman"/>
          <w:sz w:val="28"/>
          <w:szCs w:val="28"/>
          <w:lang w:val="ro-RO"/>
        </w:rPr>
        <w:t>2% din cifra de afaceri estimată transmisă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32214" w:rsidRPr="00954D65" w:rsidRDefault="00532214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(3) Pentru situatiile prevazute la alin. (1) si (2), </w:t>
      </w:r>
      <w:r w:rsidR="00B04827">
        <w:rPr>
          <w:rFonts w:ascii="Times New Roman" w:hAnsi="Times New Roman" w:cs="Times New Roman"/>
          <w:sz w:val="28"/>
          <w:szCs w:val="28"/>
          <w:lang w:val="ro-RO"/>
        </w:rPr>
        <w:t xml:space="preserve">prin derogare de la prevederile art. 12 alin. (5), </w:t>
      </w:r>
      <w:r>
        <w:rPr>
          <w:rFonts w:ascii="Times New Roman" w:hAnsi="Times New Roman" w:cs="Times New Roman"/>
          <w:sz w:val="28"/>
          <w:szCs w:val="28"/>
          <w:lang w:val="ro-RO"/>
        </w:rPr>
        <w:t>regularizarea contributiei din anul acordarii licentei se efectueaza in anul urmator aplicand cota de 2% la cifra de afaceri obtinuta in anul licentierii.</w:t>
      </w:r>
    </w:p>
    <w:p w:rsidR="00CF318C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Art. 18. – </w:t>
      </w:r>
      <w:r w:rsidR="00DC72B0" w:rsidRPr="00C96B91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 situaţia activităţilor licenţiate ANRE, desfăşura</w:t>
      </w:r>
      <w:r w:rsidR="00C96B91">
        <w:rPr>
          <w:rFonts w:ascii="Times New Roman" w:hAnsi="Times New Roman" w:cs="Times New Roman"/>
          <w:sz w:val="28"/>
          <w:szCs w:val="28"/>
          <w:lang w:val="ro-RO"/>
        </w:rPr>
        <w:t>te de către operatori economici asociaţi în c</w:t>
      </w:r>
      <w:r w:rsidRPr="00C96B91">
        <w:rPr>
          <w:rFonts w:ascii="Times New Roman" w:hAnsi="Times New Roman" w:cs="Times New Roman"/>
          <w:sz w:val="28"/>
          <w:szCs w:val="28"/>
          <w:lang w:val="ro-RO"/>
        </w:rPr>
        <w:t>ontracte de asociere în participaţiune pentru realizarea respectivelor activităţi, operatorul economic care</w:t>
      </w:r>
      <w:r w:rsidR="00C96B91">
        <w:rPr>
          <w:rFonts w:ascii="Times New Roman" w:hAnsi="Times New Roman" w:cs="Times New Roman"/>
          <w:sz w:val="28"/>
          <w:szCs w:val="28"/>
          <w:lang w:val="ro-RO"/>
        </w:rPr>
        <w:t xml:space="preserve"> este titularul de licenţă ANRE</w:t>
      </w:r>
      <w:r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 are obligaţia transmiterii cifrei de afaceri obţinută în anul </w:t>
      </w:r>
      <w:r w:rsidR="00DC72B0" w:rsidRPr="00C96B91">
        <w:rPr>
          <w:rFonts w:ascii="Times New Roman" w:hAnsi="Times New Roman" w:cs="Times New Roman"/>
          <w:sz w:val="28"/>
          <w:szCs w:val="28"/>
          <w:lang w:val="ro-RO"/>
        </w:rPr>
        <w:lastRenderedPageBreak/>
        <w:t>precedent</w:t>
      </w:r>
      <w:r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6B91"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pe intreaga activitate desfasurata </w:t>
      </w:r>
      <w:r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ce face obiectul licenţei ANRE, </w:t>
      </w:r>
      <w:r w:rsidR="00DC72B0"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318C" w:rsidRPr="00C96B91">
        <w:rPr>
          <w:rFonts w:ascii="Times New Roman" w:hAnsi="Times New Roman" w:cs="Times New Roman"/>
          <w:sz w:val="28"/>
          <w:szCs w:val="28"/>
          <w:lang w:val="ro-RO"/>
        </w:rPr>
        <w:t xml:space="preserve">conform modelului prevăzut în anexele nr. </w:t>
      </w:r>
      <w:r w:rsidR="00C96B91" w:rsidRPr="00C96B91">
        <w:rPr>
          <w:rFonts w:ascii="Times New Roman" w:hAnsi="Times New Roman" w:cs="Times New Roman"/>
          <w:sz w:val="28"/>
          <w:szCs w:val="28"/>
          <w:lang w:val="ro-RO"/>
        </w:rPr>
        <w:t>1-4</w:t>
      </w:r>
      <w:r w:rsidR="00CF318C" w:rsidRPr="00C96B91">
        <w:rPr>
          <w:rFonts w:ascii="Times New Roman" w:hAnsi="Times New Roman" w:cs="Times New Roman"/>
          <w:sz w:val="28"/>
          <w:szCs w:val="28"/>
          <w:lang w:val="ro-RO"/>
        </w:rPr>
        <w:t>, după caz</w:t>
      </w:r>
      <w:r w:rsidR="00C96B91" w:rsidRPr="00C96B9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213FC" w:rsidRDefault="007213FC" w:rsidP="007213F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Art. 19. – Prin derog</w:t>
      </w:r>
      <w:r w:rsidR="000C169C">
        <w:rPr>
          <w:rFonts w:ascii="Times New Roman" w:hAnsi="Times New Roman" w:cs="Times New Roman"/>
          <w:sz w:val="28"/>
          <w:szCs w:val="28"/>
          <w:lang w:val="ro-RO"/>
        </w:rPr>
        <w:t>are de la prevederile prezentei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metodologi</w:t>
      </w:r>
      <w:r w:rsidR="000C169C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, la stabilirea cifrei de afaceri pentru care se percepe contributia baneasca se au in vedere si urmatoarele cazuri particulare:</w:t>
      </w:r>
    </w:p>
    <w:p w:rsidR="007213FC" w:rsidRDefault="007213FC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Pr="00402A20">
        <w:rPr>
          <w:rFonts w:ascii="Times New Roman" w:hAnsi="Times New Roman" w:cs="Times New Roman"/>
          <w:sz w:val="28"/>
          <w:szCs w:val="28"/>
          <w:lang w:val="ro-RO"/>
        </w:rPr>
        <w:t xml:space="preserve">cifra de afaceri a </w:t>
      </w:r>
      <w:r w:rsidR="00402A20" w:rsidRPr="00402A20">
        <w:rPr>
          <w:rFonts w:ascii="Times New Roman" w:hAnsi="Times New Roman" w:cs="Times New Roman"/>
          <w:sz w:val="28"/>
          <w:szCs w:val="28"/>
          <w:lang w:val="ro-RO"/>
        </w:rPr>
        <w:t>operatorilor pietelor centralizate</w:t>
      </w:r>
      <w:r w:rsidRPr="00402A20">
        <w:rPr>
          <w:rFonts w:ascii="Times New Roman" w:hAnsi="Times New Roman" w:cs="Times New Roman"/>
          <w:sz w:val="28"/>
          <w:szCs w:val="28"/>
          <w:lang w:val="ro-RO"/>
        </w:rPr>
        <w:t xml:space="preserve"> nu include veniturile din tranzactiile de vanzare-cumparare de energie electrica</w:t>
      </w:r>
      <w:r w:rsidR="00402A20" w:rsidRPr="00402A20">
        <w:rPr>
          <w:rFonts w:ascii="Times New Roman" w:hAnsi="Times New Roman" w:cs="Times New Roman"/>
          <w:sz w:val="28"/>
          <w:szCs w:val="28"/>
          <w:lang w:val="ro-RO"/>
        </w:rPr>
        <w:t>/gaze naturale</w:t>
      </w:r>
      <w:r w:rsidRPr="00402A20">
        <w:rPr>
          <w:rFonts w:ascii="Times New Roman" w:hAnsi="Times New Roman" w:cs="Times New Roman"/>
          <w:sz w:val="28"/>
          <w:szCs w:val="28"/>
          <w:lang w:val="ro-RO"/>
        </w:rPr>
        <w:t xml:space="preserve"> pentru pietele in care operatorul pietei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A20">
        <w:rPr>
          <w:rFonts w:ascii="Times New Roman" w:hAnsi="Times New Roman" w:cs="Times New Roman"/>
          <w:sz w:val="28"/>
          <w:szCs w:val="28"/>
          <w:lang w:val="ro-RO"/>
        </w:rPr>
        <w:t>centralizate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are rol de contraparte;</w:t>
      </w:r>
    </w:p>
    <w:p w:rsidR="007213FC" w:rsidRDefault="007213FC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Pr="00921371">
        <w:rPr>
          <w:rFonts w:ascii="Times New Roman" w:hAnsi="Times New Roman" w:cs="Times New Roman"/>
          <w:sz w:val="28"/>
          <w:szCs w:val="28"/>
          <w:lang w:val="ro-RO"/>
        </w:rPr>
        <w:t>cifra de afaceri nu include veniturile din tranzactiile de energie electrica</w:t>
      </w:r>
      <w:r w:rsidR="002C69E2" w:rsidRPr="00921371">
        <w:rPr>
          <w:rFonts w:ascii="Times New Roman" w:hAnsi="Times New Roman" w:cs="Times New Roman"/>
          <w:sz w:val="28"/>
          <w:szCs w:val="28"/>
          <w:lang w:val="ro-RO"/>
        </w:rPr>
        <w:t>/gaze naturale</w:t>
      </w:r>
      <w:r w:rsidRPr="00921371">
        <w:rPr>
          <w:rFonts w:ascii="Times New Roman" w:hAnsi="Times New Roman" w:cs="Times New Roman"/>
          <w:sz w:val="28"/>
          <w:szCs w:val="28"/>
          <w:lang w:val="ro-RO"/>
        </w:rPr>
        <w:t xml:space="preserve"> ale furnizorilor de energie electrica</w:t>
      </w:r>
      <w:r w:rsidR="002C69E2" w:rsidRPr="00921371">
        <w:rPr>
          <w:rFonts w:ascii="Times New Roman" w:hAnsi="Times New Roman" w:cs="Times New Roman"/>
          <w:sz w:val="28"/>
          <w:szCs w:val="28"/>
          <w:lang w:val="ro-RO"/>
        </w:rPr>
        <w:t>/gaze naturale</w:t>
      </w:r>
      <w:r w:rsidRPr="00921371">
        <w:rPr>
          <w:rFonts w:ascii="Times New Roman" w:hAnsi="Times New Roman" w:cs="Times New Roman"/>
          <w:sz w:val="28"/>
          <w:szCs w:val="28"/>
          <w:lang w:val="ro-RO"/>
        </w:rPr>
        <w:t xml:space="preserve"> ce au rolul de intermediari pentru piata cu negociere dubla continua;</w:t>
      </w:r>
    </w:p>
    <w:p w:rsidR="007213FC" w:rsidRDefault="007213FC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c) cifra de afaceri aferenta activitatii producatorului de energie electrica si, dupa caz, de energie termica include si contravaloarea certificatelor verzi, conform reglementarilor Ministerului Finantelor Publice.</w:t>
      </w:r>
    </w:p>
    <w:p w:rsidR="005C2F6E" w:rsidRPr="00954D65" w:rsidRDefault="00CF318C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Art. 19. – Î</w:t>
      </w:r>
      <w:r w:rsidR="005C2F6E" w:rsidRPr="00954D65">
        <w:rPr>
          <w:rFonts w:ascii="Times New Roman" w:hAnsi="Times New Roman" w:cs="Times New Roman"/>
          <w:sz w:val="28"/>
          <w:szCs w:val="28"/>
          <w:lang w:val="ro-RO"/>
        </w:rPr>
        <w:t>n cazul falimentului titularului licenței, contribuția bănească nu 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datorează de la data </w:t>
      </w:r>
      <w:r w:rsidR="001C4B07">
        <w:rPr>
          <w:rFonts w:ascii="Times New Roman" w:hAnsi="Times New Roman" w:cs="Times New Roman"/>
          <w:sz w:val="28"/>
          <w:szCs w:val="28"/>
          <w:lang w:val="ro-RO"/>
        </w:rPr>
        <w:t xml:space="preserve">declararii falimentului </w:t>
      </w:r>
      <w:r w:rsidR="005C2F6E" w:rsidRPr="00954D65">
        <w:rPr>
          <w:rFonts w:ascii="Times New Roman" w:hAnsi="Times New Roman" w:cs="Times New Roman"/>
          <w:sz w:val="28"/>
          <w:szCs w:val="28"/>
          <w:lang w:val="ro-RO"/>
        </w:rPr>
        <w:t>prin</w:t>
      </w:r>
      <w:r w:rsidR="001C4B07">
        <w:rPr>
          <w:rFonts w:ascii="Times New Roman" w:hAnsi="Times New Roman" w:cs="Times New Roman"/>
          <w:sz w:val="28"/>
          <w:szCs w:val="28"/>
          <w:lang w:val="ro-RO"/>
        </w:rPr>
        <w:t>tr-o</w:t>
      </w:r>
      <w:r w:rsidR="005C2F6E"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hotărâre judecătorească</w:t>
      </w:r>
      <w:r w:rsidR="001C4B07">
        <w:rPr>
          <w:rFonts w:ascii="Times New Roman" w:hAnsi="Times New Roman" w:cs="Times New Roman"/>
          <w:sz w:val="28"/>
          <w:szCs w:val="28"/>
          <w:lang w:val="ro-RO"/>
        </w:rPr>
        <w:t xml:space="preserve"> ramas</w:t>
      </w:r>
      <w:r w:rsidR="00581C6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C4B07">
        <w:rPr>
          <w:rFonts w:ascii="Times New Roman" w:hAnsi="Times New Roman" w:cs="Times New Roman"/>
          <w:sz w:val="28"/>
          <w:szCs w:val="28"/>
          <w:lang w:val="ro-RO"/>
        </w:rPr>
        <w:t xml:space="preserve"> definitiv</w:t>
      </w:r>
      <w:r w:rsidR="00581C6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C2F6E"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B6D89" w:rsidRPr="00954D65" w:rsidRDefault="000B6D89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D65">
        <w:rPr>
          <w:rFonts w:ascii="Times New Roman" w:hAnsi="Times New Roman" w:cs="Times New Roman"/>
          <w:sz w:val="28"/>
          <w:szCs w:val="28"/>
          <w:lang w:val="ro-RO"/>
        </w:rPr>
        <w:t>Art. 20. – Anex</w:t>
      </w:r>
      <w:r w:rsidR="00CF318C">
        <w:rPr>
          <w:rFonts w:ascii="Times New Roman" w:hAnsi="Times New Roman" w:cs="Times New Roman"/>
          <w:sz w:val="28"/>
          <w:szCs w:val="28"/>
          <w:lang w:val="ro-RO"/>
        </w:rPr>
        <w:t>ele nr. 1-4 fac parte integrantă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din prezent</w:t>
      </w:r>
      <w:r w:rsidR="000C169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 xml:space="preserve"> metodologi</w:t>
      </w:r>
      <w:r w:rsidR="000C169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54D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B7771" w:rsidRPr="00954D65" w:rsidRDefault="00DB7771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F683A" w:rsidRPr="00954D65" w:rsidRDefault="006F683A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F683A" w:rsidRPr="00954D65" w:rsidRDefault="006F683A" w:rsidP="00586A0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F683A" w:rsidRPr="00954D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C63"/>
    <w:multiLevelType w:val="multilevel"/>
    <w:tmpl w:val="5D4E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5B3CDB"/>
    <w:multiLevelType w:val="hybridMultilevel"/>
    <w:tmpl w:val="2B2A2ED2"/>
    <w:lvl w:ilvl="0" w:tplc="0DF6EC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B2B96"/>
    <w:multiLevelType w:val="hybridMultilevel"/>
    <w:tmpl w:val="2B2A2ED2"/>
    <w:lvl w:ilvl="0" w:tplc="0DF6EC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07588"/>
    <w:multiLevelType w:val="hybridMultilevel"/>
    <w:tmpl w:val="A829E4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A43015"/>
    <w:multiLevelType w:val="multilevel"/>
    <w:tmpl w:val="309AE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A090A"/>
    <w:multiLevelType w:val="hybridMultilevel"/>
    <w:tmpl w:val="F4F4E6B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C4A6A"/>
    <w:multiLevelType w:val="hybridMultilevel"/>
    <w:tmpl w:val="00BC7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077E4"/>
    <w:multiLevelType w:val="hybridMultilevel"/>
    <w:tmpl w:val="B19C20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E02EB"/>
    <w:multiLevelType w:val="hybridMultilevel"/>
    <w:tmpl w:val="B15A3920"/>
    <w:lvl w:ilvl="0" w:tplc="4FDAF5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743E0F"/>
    <w:multiLevelType w:val="hybridMultilevel"/>
    <w:tmpl w:val="4556461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5"/>
    <w:rsid w:val="00032E5E"/>
    <w:rsid w:val="00050449"/>
    <w:rsid w:val="000858EC"/>
    <w:rsid w:val="000B6D89"/>
    <w:rsid w:val="000C169C"/>
    <w:rsid w:val="000D66E1"/>
    <w:rsid w:val="000F593B"/>
    <w:rsid w:val="000F767A"/>
    <w:rsid w:val="0012110F"/>
    <w:rsid w:val="001459C3"/>
    <w:rsid w:val="0014758C"/>
    <w:rsid w:val="00162F14"/>
    <w:rsid w:val="00177128"/>
    <w:rsid w:val="001A5124"/>
    <w:rsid w:val="001B2946"/>
    <w:rsid w:val="001C4B07"/>
    <w:rsid w:val="001D52EA"/>
    <w:rsid w:val="0021211C"/>
    <w:rsid w:val="002149AE"/>
    <w:rsid w:val="0022619B"/>
    <w:rsid w:val="002B4EB7"/>
    <w:rsid w:val="002C69E2"/>
    <w:rsid w:val="002E6E30"/>
    <w:rsid w:val="002F068A"/>
    <w:rsid w:val="00304C82"/>
    <w:rsid w:val="00306CAA"/>
    <w:rsid w:val="00343E71"/>
    <w:rsid w:val="00370EDB"/>
    <w:rsid w:val="00372010"/>
    <w:rsid w:val="00392E68"/>
    <w:rsid w:val="003A57AD"/>
    <w:rsid w:val="003E0825"/>
    <w:rsid w:val="003F2695"/>
    <w:rsid w:val="00402A20"/>
    <w:rsid w:val="00494059"/>
    <w:rsid w:val="004B244D"/>
    <w:rsid w:val="004B2F93"/>
    <w:rsid w:val="004E7079"/>
    <w:rsid w:val="004E70EE"/>
    <w:rsid w:val="0050229F"/>
    <w:rsid w:val="00532214"/>
    <w:rsid w:val="005511E9"/>
    <w:rsid w:val="0056165D"/>
    <w:rsid w:val="00581C68"/>
    <w:rsid w:val="005856C3"/>
    <w:rsid w:val="00586A0E"/>
    <w:rsid w:val="005A6962"/>
    <w:rsid w:val="005C2F6E"/>
    <w:rsid w:val="005E7877"/>
    <w:rsid w:val="00603ADA"/>
    <w:rsid w:val="006062CF"/>
    <w:rsid w:val="00615662"/>
    <w:rsid w:val="0064054E"/>
    <w:rsid w:val="00667074"/>
    <w:rsid w:val="00687AFF"/>
    <w:rsid w:val="006B5F98"/>
    <w:rsid w:val="006F683A"/>
    <w:rsid w:val="00703B86"/>
    <w:rsid w:val="00716418"/>
    <w:rsid w:val="007213FC"/>
    <w:rsid w:val="007224D6"/>
    <w:rsid w:val="007240CA"/>
    <w:rsid w:val="0072764D"/>
    <w:rsid w:val="0073414F"/>
    <w:rsid w:val="00747B92"/>
    <w:rsid w:val="0075570B"/>
    <w:rsid w:val="007757BE"/>
    <w:rsid w:val="00794DF7"/>
    <w:rsid w:val="007A0ABE"/>
    <w:rsid w:val="007A3703"/>
    <w:rsid w:val="007B7731"/>
    <w:rsid w:val="007E419F"/>
    <w:rsid w:val="007F327C"/>
    <w:rsid w:val="0082010D"/>
    <w:rsid w:val="00826700"/>
    <w:rsid w:val="00833D21"/>
    <w:rsid w:val="00841548"/>
    <w:rsid w:val="00845AA1"/>
    <w:rsid w:val="0084694F"/>
    <w:rsid w:val="00853D44"/>
    <w:rsid w:val="008543F9"/>
    <w:rsid w:val="008776C4"/>
    <w:rsid w:val="00880504"/>
    <w:rsid w:val="008C05E8"/>
    <w:rsid w:val="008C0AAF"/>
    <w:rsid w:val="008E08A9"/>
    <w:rsid w:val="008F46C9"/>
    <w:rsid w:val="00921371"/>
    <w:rsid w:val="009364F5"/>
    <w:rsid w:val="00954D65"/>
    <w:rsid w:val="00962E75"/>
    <w:rsid w:val="00963C3B"/>
    <w:rsid w:val="00992998"/>
    <w:rsid w:val="009957C1"/>
    <w:rsid w:val="009A386B"/>
    <w:rsid w:val="009D0C93"/>
    <w:rsid w:val="009E29B3"/>
    <w:rsid w:val="00A23C07"/>
    <w:rsid w:val="00A336E2"/>
    <w:rsid w:val="00A46243"/>
    <w:rsid w:val="00A72E9F"/>
    <w:rsid w:val="00A9271F"/>
    <w:rsid w:val="00AA472A"/>
    <w:rsid w:val="00AB3120"/>
    <w:rsid w:val="00AE3A85"/>
    <w:rsid w:val="00AF1EA7"/>
    <w:rsid w:val="00B04827"/>
    <w:rsid w:val="00B056A7"/>
    <w:rsid w:val="00B12D17"/>
    <w:rsid w:val="00B159E4"/>
    <w:rsid w:val="00B46806"/>
    <w:rsid w:val="00B52FF0"/>
    <w:rsid w:val="00B5619B"/>
    <w:rsid w:val="00B61FF1"/>
    <w:rsid w:val="00B647A9"/>
    <w:rsid w:val="00B65A6B"/>
    <w:rsid w:val="00B833B2"/>
    <w:rsid w:val="00BB1090"/>
    <w:rsid w:val="00BF14DE"/>
    <w:rsid w:val="00C00B69"/>
    <w:rsid w:val="00C25B79"/>
    <w:rsid w:val="00C4558C"/>
    <w:rsid w:val="00C54186"/>
    <w:rsid w:val="00C96B91"/>
    <w:rsid w:val="00CC5B10"/>
    <w:rsid w:val="00CF318C"/>
    <w:rsid w:val="00D13785"/>
    <w:rsid w:val="00D21322"/>
    <w:rsid w:val="00D41BF5"/>
    <w:rsid w:val="00D55EC0"/>
    <w:rsid w:val="00D61657"/>
    <w:rsid w:val="00D643CE"/>
    <w:rsid w:val="00D66A18"/>
    <w:rsid w:val="00DB237F"/>
    <w:rsid w:val="00DB7771"/>
    <w:rsid w:val="00DC633F"/>
    <w:rsid w:val="00DC72B0"/>
    <w:rsid w:val="00DC7F59"/>
    <w:rsid w:val="00DD05E0"/>
    <w:rsid w:val="00E04D01"/>
    <w:rsid w:val="00E312F4"/>
    <w:rsid w:val="00E35485"/>
    <w:rsid w:val="00E425F8"/>
    <w:rsid w:val="00EB7C8A"/>
    <w:rsid w:val="00F4408E"/>
    <w:rsid w:val="00F94006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2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2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2019-01-14T06:51:00Z</cp:lastPrinted>
  <dcterms:created xsi:type="dcterms:W3CDTF">2019-01-15T17:04:00Z</dcterms:created>
  <dcterms:modified xsi:type="dcterms:W3CDTF">2019-01-15T17:04:00Z</dcterms:modified>
</cp:coreProperties>
</file>