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36825A" w14:textId="77777777" w:rsidR="00A80085" w:rsidRDefault="00A80085" w:rsidP="00C700E8">
      <w:pPr>
        <w:widowControl w:val="0"/>
        <w:spacing w:after="200" w:line="400" w:lineRule="exact"/>
        <w:jc w:val="center"/>
        <w:rPr>
          <w:b/>
          <w:color w:val="0070C0"/>
          <w:sz w:val="30"/>
          <w:szCs w:val="30"/>
        </w:rPr>
      </w:pPr>
    </w:p>
    <w:p w14:paraId="6FF379F2" w14:textId="23F4AE31" w:rsidR="00226ED6" w:rsidRDefault="00AB02E9" w:rsidP="00C700E8">
      <w:pPr>
        <w:widowControl w:val="0"/>
        <w:spacing w:after="200" w:line="400" w:lineRule="exact"/>
        <w:jc w:val="center"/>
        <w:rPr>
          <w:b/>
          <w:color w:val="0070C0"/>
          <w:sz w:val="30"/>
          <w:szCs w:val="30"/>
        </w:rPr>
      </w:pPr>
      <w:r>
        <w:rPr>
          <w:b/>
          <w:color w:val="0070C0"/>
          <w:sz w:val="30"/>
          <w:szCs w:val="30"/>
        </w:rPr>
        <w:t>O</w:t>
      </w:r>
      <w:r w:rsidR="004D3530" w:rsidRPr="00226ED6">
        <w:rPr>
          <w:b/>
          <w:color w:val="0070C0"/>
          <w:sz w:val="30"/>
          <w:szCs w:val="30"/>
        </w:rPr>
        <w:t>pini</w:t>
      </w:r>
      <w:r w:rsidR="0074184A">
        <w:rPr>
          <w:b/>
          <w:color w:val="0070C0"/>
          <w:sz w:val="30"/>
          <w:szCs w:val="30"/>
        </w:rPr>
        <w:t>a</w:t>
      </w:r>
      <w:r w:rsidR="004D3530" w:rsidRPr="00226ED6">
        <w:rPr>
          <w:b/>
          <w:color w:val="0070C0"/>
          <w:sz w:val="30"/>
          <w:szCs w:val="30"/>
        </w:rPr>
        <w:t xml:space="preserve"> Consiliului </w:t>
      </w:r>
      <w:r w:rsidR="00E769AD" w:rsidRPr="00226ED6">
        <w:rPr>
          <w:b/>
          <w:color w:val="0070C0"/>
          <w:sz w:val="30"/>
          <w:szCs w:val="30"/>
        </w:rPr>
        <w:t>F</w:t>
      </w:r>
      <w:r w:rsidR="004D3530" w:rsidRPr="00226ED6">
        <w:rPr>
          <w:b/>
          <w:color w:val="0070C0"/>
          <w:sz w:val="30"/>
          <w:szCs w:val="30"/>
        </w:rPr>
        <w:t xml:space="preserve">iscal </w:t>
      </w:r>
      <w:r>
        <w:rPr>
          <w:b/>
          <w:color w:val="0070C0"/>
          <w:sz w:val="30"/>
          <w:szCs w:val="30"/>
        </w:rPr>
        <w:t>privind</w:t>
      </w:r>
      <w:r w:rsidR="004D3530" w:rsidRPr="00226ED6">
        <w:rPr>
          <w:b/>
          <w:color w:val="0070C0"/>
          <w:sz w:val="30"/>
          <w:szCs w:val="30"/>
        </w:rPr>
        <w:t xml:space="preserve"> Legea bugetului de stat </w:t>
      </w:r>
      <w:r w:rsidR="0074184A">
        <w:rPr>
          <w:b/>
          <w:color w:val="0070C0"/>
          <w:sz w:val="30"/>
          <w:szCs w:val="30"/>
        </w:rPr>
        <w:t xml:space="preserve">și </w:t>
      </w:r>
      <w:r w:rsidR="004D3530" w:rsidRPr="00226ED6">
        <w:rPr>
          <w:b/>
          <w:color w:val="0070C0"/>
          <w:sz w:val="30"/>
          <w:szCs w:val="30"/>
        </w:rPr>
        <w:t xml:space="preserve">Legea bugetului de asigurări sociale pentru anul </w:t>
      </w:r>
      <w:r w:rsidR="008D367D" w:rsidRPr="00226ED6">
        <w:rPr>
          <w:b/>
          <w:color w:val="0070C0"/>
          <w:sz w:val="30"/>
          <w:szCs w:val="30"/>
        </w:rPr>
        <w:t>2020</w:t>
      </w:r>
    </w:p>
    <w:p w14:paraId="02370F90" w14:textId="77777777" w:rsidR="00C700E8" w:rsidRPr="00C700E8" w:rsidRDefault="00C700E8" w:rsidP="00C700E8">
      <w:pPr>
        <w:widowControl w:val="0"/>
        <w:spacing w:after="200" w:line="400" w:lineRule="exact"/>
        <w:jc w:val="center"/>
        <w:rPr>
          <w:b/>
          <w:color w:val="0070C0"/>
          <w:sz w:val="30"/>
          <w:szCs w:val="30"/>
        </w:rPr>
      </w:pPr>
    </w:p>
    <w:p w14:paraId="11FDBA55" w14:textId="77777777" w:rsidR="00302594" w:rsidRDefault="00302594" w:rsidP="00226ED6">
      <w:pPr>
        <w:widowControl w:val="0"/>
        <w:spacing w:after="120" w:line="320" w:lineRule="exact"/>
        <w:jc w:val="both"/>
        <w:rPr>
          <w:b/>
          <w:i/>
          <w:iCs/>
          <w:color w:val="0070C0"/>
          <w:sz w:val="28"/>
          <w:szCs w:val="28"/>
        </w:rPr>
      </w:pPr>
    </w:p>
    <w:p w14:paraId="2649B980" w14:textId="1EF06317" w:rsidR="00267CF4" w:rsidRDefault="00F005CB" w:rsidP="00226ED6">
      <w:pPr>
        <w:widowControl w:val="0"/>
        <w:spacing w:after="120" w:line="320" w:lineRule="exact"/>
        <w:jc w:val="both"/>
        <w:rPr>
          <w:b/>
          <w:i/>
          <w:iCs/>
          <w:color w:val="0070C0"/>
          <w:sz w:val="28"/>
          <w:szCs w:val="28"/>
        </w:rPr>
      </w:pPr>
      <w:r w:rsidRPr="002924A1">
        <w:rPr>
          <w:b/>
          <w:i/>
          <w:iCs/>
          <w:color w:val="0070C0"/>
          <w:sz w:val="28"/>
          <w:szCs w:val="28"/>
        </w:rPr>
        <w:t>Sintez</w:t>
      </w:r>
      <w:r w:rsidR="008B0D37" w:rsidRPr="002924A1">
        <w:rPr>
          <w:b/>
          <w:i/>
          <w:iCs/>
          <w:color w:val="0070C0"/>
          <w:sz w:val="28"/>
          <w:szCs w:val="28"/>
        </w:rPr>
        <w:t>ă</w:t>
      </w:r>
    </w:p>
    <w:p w14:paraId="071638C9" w14:textId="77777777" w:rsidR="00302594" w:rsidRDefault="00302594" w:rsidP="00226ED6">
      <w:pPr>
        <w:widowControl w:val="0"/>
        <w:spacing w:after="120" w:line="320" w:lineRule="exact"/>
        <w:jc w:val="both"/>
        <w:rPr>
          <w:b/>
          <w:i/>
          <w:iCs/>
          <w:color w:val="0070C0"/>
          <w:sz w:val="28"/>
          <w:szCs w:val="28"/>
        </w:rPr>
      </w:pPr>
    </w:p>
    <w:p w14:paraId="7A8D18CF" w14:textId="77777777" w:rsidR="00302594" w:rsidRPr="002924A1" w:rsidRDefault="00302594" w:rsidP="00226ED6">
      <w:pPr>
        <w:widowControl w:val="0"/>
        <w:spacing w:after="120" w:line="320" w:lineRule="exact"/>
        <w:jc w:val="both"/>
        <w:rPr>
          <w:b/>
          <w:i/>
          <w:iCs/>
          <w:color w:val="0070C0"/>
          <w:sz w:val="28"/>
          <w:szCs w:val="28"/>
        </w:rPr>
      </w:pPr>
    </w:p>
    <w:p w14:paraId="063CF196" w14:textId="5790C5D9" w:rsidR="00AE4488" w:rsidRPr="00267CF4" w:rsidRDefault="00AE4488" w:rsidP="003B38CB">
      <w:pPr>
        <w:pStyle w:val="ListParagraph"/>
        <w:widowControl w:val="0"/>
        <w:numPr>
          <w:ilvl w:val="0"/>
          <w:numId w:val="12"/>
        </w:numPr>
        <w:spacing w:after="200" w:line="276" w:lineRule="auto"/>
        <w:ind w:left="993" w:hanging="641"/>
        <w:contextualSpacing w:val="0"/>
        <w:jc w:val="both"/>
        <w:rPr>
          <w:bCs/>
          <w:sz w:val="24"/>
          <w:szCs w:val="24"/>
        </w:rPr>
      </w:pPr>
      <w:r>
        <w:rPr>
          <w:rFonts w:cs="Calibri"/>
          <w:bCs/>
          <w:sz w:val="24"/>
          <w:szCs w:val="24"/>
        </w:rPr>
        <w:t>CF remarcă progresul în direcția transparentizării construcției bugetare operată cu prilejul celei de-a doua rectificări bugetare aferente anului 2019 – în sensul actualizării proiecției de venituri și a recunoașterii în cheltuielile bugetare a unor obligații restante</w:t>
      </w:r>
      <w:r w:rsidR="00267CF4">
        <w:rPr>
          <w:rFonts w:cs="Calibri"/>
          <w:bCs/>
          <w:sz w:val="24"/>
          <w:szCs w:val="24"/>
        </w:rPr>
        <w:t>;</w:t>
      </w:r>
    </w:p>
    <w:p w14:paraId="4651BA87" w14:textId="7F56F81B" w:rsidR="00042025" w:rsidRPr="00267CF4" w:rsidRDefault="002A55B5" w:rsidP="003B38CB">
      <w:pPr>
        <w:pStyle w:val="ListParagraph"/>
        <w:widowControl w:val="0"/>
        <w:numPr>
          <w:ilvl w:val="0"/>
          <w:numId w:val="12"/>
        </w:numPr>
        <w:spacing w:after="200" w:line="276" w:lineRule="auto"/>
        <w:ind w:left="993" w:hanging="641"/>
        <w:contextualSpacing w:val="0"/>
        <w:jc w:val="both"/>
        <w:rPr>
          <w:bCs/>
          <w:sz w:val="24"/>
          <w:szCs w:val="24"/>
        </w:rPr>
      </w:pPr>
      <w:r>
        <w:rPr>
          <w:rFonts w:cs="Calibri"/>
          <w:bCs/>
          <w:sz w:val="24"/>
          <w:szCs w:val="24"/>
        </w:rPr>
        <w:t>Ultimele informații disponibile cu privire la execuția bugetară aferentă anului 2019 sugerează, în opinia CF, o evoluție și mai nefavorabilă în raport cu estimările MFP. Astfel, CF estimează un minus de venituri bugetare, fără a le lua în calcul pe cele din fonduri UE, de cel puțin 0,25 pp din PIB, în timp ce riscul depășirii anvelopei la categoria cheltuieli cu bunuri și servicii s-a materializat probabil la un nivel de cel puțin 0,2 pp din PIB.</w:t>
      </w:r>
      <w:r w:rsidRPr="002A55B5">
        <w:rPr>
          <w:rFonts w:cs="Calibri"/>
          <w:bCs/>
          <w:sz w:val="24"/>
          <w:szCs w:val="24"/>
        </w:rPr>
        <w:t xml:space="preserve"> </w:t>
      </w:r>
      <w:r w:rsidRPr="00991A1D">
        <w:rPr>
          <w:rFonts w:cs="Calibri"/>
          <w:bCs/>
          <w:sz w:val="24"/>
          <w:szCs w:val="24"/>
        </w:rPr>
        <w:t>Aceste date vor avea impact în același cuantum asupra construcțiilor bugetare subsecvente;</w:t>
      </w:r>
    </w:p>
    <w:p w14:paraId="1B046625" w14:textId="03C252AB" w:rsidR="002D274F" w:rsidRPr="002D274F" w:rsidRDefault="00315DB8" w:rsidP="003B38CB">
      <w:pPr>
        <w:pStyle w:val="ListParagraph"/>
        <w:widowControl w:val="0"/>
        <w:numPr>
          <w:ilvl w:val="0"/>
          <w:numId w:val="12"/>
        </w:numPr>
        <w:spacing w:after="200" w:line="276" w:lineRule="auto"/>
        <w:ind w:left="993" w:hanging="641"/>
        <w:contextualSpacing w:val="0"/>
        <w:jc w:val="both"/>
        <w:rPr>
          <w:bCs/>
          <w:sz w:val="24"/>
          <w:szCs w:val="24"/>
        </w:rPr>
      </w:pPr>
      <w:r w:rsidRPr="00315DB8">
        <w:rPr>
          <w:bCs/>
          <w:sz w:val="24"/>
          <w:szCs w:val="24"/>
        </w:rPr>
        <w:t xml:space="preserve">Ulterior adoptării proiectului de buget aferent anului 2020, a intervenit o serie </w:t>
      </w:r>
      <w:r w:rsidR="00C700E8">
        <w:rPr>
          <w:bCs/>
          <w:sz w:val="24"/>
          <w:szCs w:val="24"/>
        </w:rPr>
        <w:t xml:space="preserve">de </w:t>
      </w:r>
      <w:r w:rsidRPr="00315DB8">
        <w:rPr>
          <w:bCs/>
          <w:sz w:val="24"/>
          <w:szCs w:val="24"/>
        </w:rPr>
        <w:t xml:space="preserve">modificări  în </w:t>
      </w:r>
      <w:r w:rsidR="002A55B5">
        <w:rPr>
          <w:bCs/>
          <w:sz w:val="24"/>
          <w:szCs w:val="24"/>
        </w:rPr>
        <w:t xml:space="preserve">nivelul </w:t>
      </w:r>
      <w:r w:rsidRPr="00315DB8">
        <w:rPr>
          <w:bCs/>
          <w:sz w:val="24"/>
          <w:szCs w:val="24"/>
        </w:rPr>
        <w:t>taxe</w:t>
      </w:r>
      <w:r w:rsidR="002A55B5">
        <w:rPr>
          <w:bCs/>
          <w:sz w:val="24"/>
          <w:szCs w:val="24"/>
        </w:rPr>
        <w:t>lor</w:t>
      </w:r>
      <w:r w:rsidRPr="00315DB8">
        <w:rPr>
          <w:bCs/>
          <w:sz w:val="24"/>
          <w:szCs w:val="24"/>
        </w:rPr>
        <w:t xml:space="preserve"> și impozite</w:t>
      </w:r>
      <w:r w:rsidR="002A55B5">
        <w:rPr>
          <w:bCs/>
          <w:sz w:val="24"/>
          <w:szCs w:val="24"/>
        </w:rPr>
        <w:t>lor</w:t>
      </w:r>
      <w:r w:rsidRPr="00315DB8">
        <w:rPr>
          <w:bCs/>
          <w:sz w:val="24"/>
          <w:szCs w:val="24"/>
        </w:rPr>
        <w:t xml:space="preserve">, în principal în sensul reducerii acestora. </w:t>
      </w:r>
      <w:r w:rsidRPr="00315DB8">
        <w:rPr>
          <w:sz w:val="24"/>
          <w:szCs w:val="24"/>
        </w:rPr>
        <w:t xml:space="preserve">Cumulat, acestea vor conduce la venituri bugetare mai reduse cu circa 0,5 pp din PIB și, </w:t>
      </w:r>
      <w:r w:rsidRPr="00C700E8">
        <w:rPr>
          <w:i/>
          <w:iCs/>
          <w:sz w:val="24"/>
          <w:szCs w:val="24"/>
        </w:rPr>
        <w:t>ceteris paribus</w:t>
      </w:r>
      <w:r w:rsidRPr="00315DB8">
        <w:rPr>
          <w:sz w:val="24"/>
          <w:szCs w:val="24"/>
        </w:rPr>
        <w:t xml:space="preserve">, </w:t>
      </w:r>
      <w:r w:rsidR="00C700E8">
        <w:rPr>
          <w:sz w:val="24"/>
          <w:szCs w:val="24"/>
        </w:rPr>
        <w:t xml:space="preserve">la </w:t>
      </w:r>
      <w:r w:rsidRPr="00315DB8">
        <w:rPr>
          <w:sz w:val="24"/>
          <w:szCs w:val="24"/>
        </w:rPr>
        <w:t>un nivel al deficitului bugetar pentru anul 2020 mai ridica</w:t>
      </w:r>
      <w:r w:rsidR="00442F97">
        <w:rPr>
          <w:sz w:val="24"/>
          <w:szCs w:val="24"/>
        </w:rPr>
        <w:t>t cu același cuantum;</w:t>
      </w:r>
    </w:p>
    <w:p w14:paraId="238406C5" w14:textId="51BD812A" w:rsidR="002D274F" w:rsidRPr="00267CF4" w:rsidRDefault="002D274F" w:rsidP="003B38CB">
      <w:pPr>
        <w:pStyle w:val="ListParagraph"/>
        <w:widowControl w:val="0"/>
        <w:numPr>
          <w:ilvl w:val="0"/>
          <w:numId w:val="12"/>
        </w:numPr>
        <w:spacing w:after="200" w:line="276" w:lineRule="auto"/>
        <w:ind w:left="993" w:hanging="641"/>
        <w:contextualSpacing w:val="0"/>
        <w:jc w:val="both"/>
        <w:rPr>
          <w:bCs/>
          <w:sz w:val="24"/>
          <w:szCs w:val="24"/>
        </w:rPr>
      </w:pPr>
      <w:r>
        <w:rPr>
          <w:sz w:val="24"/>
          <w:szCs w:val="24"/>
        </w:rPr>
        <w:t>E</w:t>
      </w:r>
      <w:r w:rsidR="0084658F">
        <w:rPr>
          <w:sz w:val="24"/>
          <w:szCs w:val="24"/>
        </w:rPr>
        <w:t>volu</w:t>
      </w:r>
      <w:r w:rsidR="00267CF4">
        <w:rPr>
          <w:sz w:val="24"/>
          <w:szCs w:val="24"/>
        </w:rPr>
        <w:t>ț</w:t>
      </w:r>
      <w:r w:rsidR="0084658F">
        <w:rPr>
          <w:sz w:val="24"/>
          <w:szCs w:val="24"/>
        </w:rPr>
        <w:t>i</w:t>
      </w:r>
      <w:r>
        <w:rPr>
          <w:sz w:val="24"/>
          <w:szCs w:val="24"/>
        </w:rPr>
        <w:t xml:space="preserve">ile </w:t>
      </w:r>
      <w:r w:rsidR="0019159A">
        <w:rPr>
          <w:sz w:val="24"/>
          <w:szCs w:val="24"/>
        </w:rPr>
        <w:t>men</w:t>
      </w:r>
      <w:r w:rsidR="002A55B5">
        <w:rPr>
          <w:sz w:val="24"/>
          <w:szCs w:val="24"/>
        </w:rPr>
        <w:t>ț</w:t>
      </w:r>
      <w:r w:rsidR="0019159A">
        <w:rPr>
          <w:sz w:val="24"/>
          <w:szCs w:val="24"/>
        </w:rPr>
        <w:t>ionate</w:t>
      </w:r>
      <w:r>
        <w:rPr>
          <w:sz w:val="24"/>
          <w:szCs w:val="24"/>
        </w:rPr>
        <w:t xml:space="preserve"> mai sus</w:t>
      </w:r>
      <w:r w:rsidR="0084658F">
        <w:rPr>
          <w:sz w:val="24"/>
          <w:szCs w:val="24"/>
        </w:rPr>
        <w:t xml:space="preserve"> echivaleaz</w:t>
      </w:r>
      <w:r w:rsidR="002A55B5">
        <w:rPr>
          <w:sz w:val="24"/>
          <w:szCs w:val="24"/>
        </w:rPr>
        <w:t>ă</w:t>
      </w:r>
      <w:r w:rsidR="0084658F">
        <w:rPr>
          <w:sz w:val="24"/>
          <w:szCs w:val="24"/>
        </w:rPr>
        <w:t xml:space="preserve"> cu o </w:t>
      </w:r>
      <w:r w:rsidR="002A55B5">
        <w:rPr>
          <w:sz w:val="24"/>
          <w:szCs w:val="24"/>
        </w:rPr>
        <w:t>î</w:t>
      </w:r>
      <w:r w:rsidR="0084658F">
        <w:rPr>
          <w:sz w:val="24"/>
          <w:szCs w:val="24"/>
        </w:rPr>
        <w:t xml:space="preserve">ncordare </w:t>
      </w:r>
      <w:r w:rsidR="00267CF4">
        <w:rPr>
          <w:sz w:val="24"/>
          <w:szCs w:val="24"/>
        </w:rPr>
        <w:t>ș</w:t>
      </w:r>
      <w:r w:rsidR="0084658F">
        <w:rPr>
          <w:sz w:val="24"/>
          <w:szCs w:val="24"/>
        </w:rPr>
        <w:t>i mai mare a bugetului public</w:t>
      </w:r>
      <w:r w:rsidR="002A55B5">
        <w:rPr>
          <w:sz w:val="24"/>
          <w:szCs w:val="24"/>
        </w:rPr>
        <w:t xml:space="preserve">, </w:t>
      </w:r>
      <w:r w:rsidR="0019159A">
        <w:rPr>
          <w:sz w:val="24"/>
          <w:szCs w:val="24"/>
        </w:rPr>
        <w:t>stare</w:t>
      </w:r>
      <w:r w:rsidR="00701748">
        <w:rPr>
          <w:sz w:val="24"/>
          <w:szCs w:val="24"/>
        </w:rPr>
        <w:t xml:space="preserve"> </w:t>
      </w:r>
      <w:r w:rsidR="0019159A">
        <w:rPr>
          <w:sz w:val="24"/>
          <w:szCs w:val="24"/>
        </w:rPr>
        <w:t>subliniat</w:t>
      </w:r>
      <w:r w:rsidR="002A55B5">
        <w:rPr>
          <w:sz w:val="24"/>
          <w:szCs w:val="24"/>
        </w:rPr>
        <w:t>ă</w:t>
      </w:r>
      <w:r w:rsidR="0019159A">
        <w:rPr>
          <w:sz w:val="24"/>
          <w:szCs w:val="24"/>
        </w:rPr>
        <w:t xml:space="preserve"> de opiniile recente ale CF</w:t>
      </w:r>
      <w:r w:rsidR="002A55B5">
        <w:rPr>
          <w:sz w:val="24"/>
          <w:szCs w:val="24"/>
        </w:rPr>
        <w:t xml:space="preserve"> ș</w:t>
      </w:r>
      <w:r w:rsidR="0019159A">
        <w:rPr>
          <w:sz w:val="24"/>
          <w:szCs w:val="24"/>
        </w:rPr>
        <w:t>i</w:t>
      </w:r>
      <w:r>
        <w:rPr>
          <w:sz w:val="24"/>
          <w:szCs w:val="24"/>
        </w:rPr>
        <w:t xml:space="preserve"> care se caracterizeaz</w:t>
      </w:r>
      <w:r w:rsidR="002A55B5">
        <w:rPr>
          <w:sz w:val="24"/>
          <w:szCs w:val="24"/>
        </w:rPr>
        <w:t>ă</w:t>
      </w:r>
      <w:r>
        <w:rPr>
          <w:sz w:val="24"/>
          <w:szCs w:val="24"/>
        </w:rPr>
        <w:t xml:space="preserve"> prin pu</w:t>
      </w:r>
      <w:r w:rsidR="002A55B5">
        <w:rPr>
          <w:sz w:val="24"/>
          <w:szCs w:val="24"/>
        </w:rPr>
        <w:t>ț</w:t>
      </w:r>
      <w:r>
        <w:rPr>
          <w:sz w:val="24"/>
          <w:szCs w:val="24"/>
        </w:rPr>
        <w:t>in</w:t>
      </w:r>
      <w:r w:rsidR="002A55B5">
        <w:rPr>
          <w:sz w:val="24"/>
          <w:szCs w:val="24"/>
        </w:rPr>
        <w:t>ă</w:t>
      </w:r>
      <w:r>
        <w:rPr>
          <w:sz w:val="24"/>
          <w:szCs w:val="24"/>
        </w:rPr>
        <w:t xml:space="preserve">tatea veniturilor fiscale </w:t>
      </w:r>
      <w:r w:rsidR="00267CF4">
        <w:rPr>
          <w:sz w:val="24"/>
          <w:szCs w:val="24"/>
        </w:rPr>
        <w:t>ș</w:t>
      </w:r>
      <w:r>
        <w:rPr>
          <w:sz w:val="24"/>
          <w:szCs w:val="24"/>
        </w:rPr>
        <w:t>i presiun</w:t>
      </w:r>
      <w:r w:rsidR="0019159A">
        <w:rPr>
          <w:sz w:val="24"/>
          <w:szCs w:val="24"/>
        </w:rPr>
        <w:t>i</w:t>
      </w:r>
      <w:r>
        <w:rPr>
          <w:sz w:val="24"/>
          <w:szCs w:val="24"/>
        </w:rPr>
        <w:t xml:space="preserve"> foarte mari pe resursele sale</w:t>
      </w:r>
      <w:r w:rsidR="00D572F9">
        <w:rPr>
          <w:sz w:val="24"/>
          <w:szCs w:val="24"/>
        </w:rPr>
        <w:t>;</w:t>
      </w:r>
    </w:p>
    <w:p w14:paraId="38BDCB72" w14:textId="4DE20F8B" w:rsidR="00590C1A" w:rsidRPr="00267CF4" w:rsidRDefault="00442F97" w:rsidP="003B38CB">
      <w:pPr>
        <w:pStyle w:val="ListParagraph"/>
        <w:widowControl w:val="0"/>
        <w:numPr>
          <w:ilvl w:val="0"/>
          <w:numId w:val="12"/>
        </w:numPr>
        <w:spacing w:after="200" w:line="276" w:lineRule="auto"/>
        <w:ind w:left="993" w:hanging="641"/>
        <w:contextualSpacing w:val="0"/>
        <w:jc w:val="both"/>
        <w:rPr>
          <w:bCs/>
          <w:sz w:val="24"/>
          <w:szCs w:val="24"/>
        </w:rPr>
      </w:pPr>
      <w:r w:rsidRPr="00442F97">
        <w:rPr>
          <w:bCs/>
          <w:sz w:val="24"/>
          <w:szCs w:val="24"/>
        </w:rPr>
        <w:t>Considerând informațiile disponibile în acest moment, estimarea CF privind nivelul deficitului bugetar pentru anul 2020 se plasează în intervalul 4,6</w:t>
      </w:r>
      <w:r w:rsidR="00C700E8">
        <w:rPr>
          <w:bCs/>
          <w:sz w:val="24"/>
          <w:szCs w:val="24"/>
        </w:rPr>
        <w:t xml:space="preserve"> – 4,8% </w:t>
      </w:r>
      <w:r w:rsidRPr="00442F97">
        <w:rPr>
          <w:bCs/>
          <w:sz w:val="24"/>
          <w:szCs w:val="24"/>
        </w:rPr>
        <w:t>din</w:t>
      </w:r>
      <w:r w:rsidR="00C700E8">
        <w:rPr>
          <w:bCs/>
          <w:sz w:val="24"/>
          <w:szCs w:val="24"/>
        </w:rPr>
        <w:t xml:space="preserve"> </w:t>
      </w:r>
      <w:r w:rsidRPr="00442F97">
        <w:rPr>
          <w:bCs/>
          <w:sz w:val="24"/>
          <w:szCs w:val="24"/>
        </w:rPr>
        <w:t xml:space="preserve">PIB, rezultând un ecart față de ținta MFP de </w:t>
      </w:r>
      <w:r w:rsidR="0020111C" w:rsidRPr="00E1682E">
        <w:rPr>
          <w:bCs/>
          <w:sz w:val="24"/>
          <w:szCs w:val="24"/>
        </w:rPr>
        <w:t>1</w:t>
      </w:r>
      <w:r w:rsidR="00C700E8" w:rsidRPr="00E1682E">
        <w:rPr>
          <w:bCs/>
          <w:sz w:val="24"/>
          <w:szCs w:val="24"/>
        </w:rPr>
        <w:t xml:space="preserve"> </w:t>
      </w:r>
      <w:r w:rsidRPr="00E1682E">
        <w:rPr>
          <w:bCs/>
          <w:sz w:val="24"/>
          <w:szCs w:val="24"/>
        </w:rPr>
        <w:t>–</w:t>
      </w:r>
      <w:r w:rsidR="00C700E8" w:rsidRPr="00E1682E">
        <w:rPr>
          <w:bCs/>
          <w:sz w:val="24"/>
          <w:szCs w:val="24"/>
        </w:rPr>
        <w:t xml:space="preserve"> </w:t>
      </w:r>
      <w:r w:rsidRPr="00E1682E">
        <w:rPr>
          <w:bCs/>
          <w:sz w:val="24"/>
          <w:szCs w:val="24"/>
        </w:rPr>
        <w:t>1</w:t>
      </w:r>
      <w:r w:rsidR="0020111C" w:rsidRPr="00E1682E">
        <w:rPr>
          <w:bCs/>
          <w:sz w:val="24"/>
          <w:szCs w:val="24"/>
        </w:rPr>
        <w:t>,2</w:t>
      </w:r>
      <w:r w:rsidR="00E1682E" w:rsidRPr="00E1682E">
        <w:rPr>
          <w:bCs/>
          <w:sz w:val="24"/>
          <w:szCs w:val="24"/>
        </w:rPr>
        <w:t xml:space="preserve"> pp</w:t>
      </w:r>
      <w:r w:rsidRPr="00E1682E">
        <w:rPr>
          <w:bCs/>
          <w:sz w:val="24"/>
          <w:szCs w:val="24"/>
        </w:rPr>
        <w:t xml:space="preserve"> din PIB</w:t>
      </w:r>
      <w:r w:rsidR="002D274F">
        <w:rPr>
          <w:bCs/>
          <w:sz w:val="24"/>
          <w:szCs w:val="24"/>
        </w:rPr>
        <w:t>;</w:t>
      </w:r>
      <w:r w:rsidRPr="00442F97">
        <w:rPr>
          <w:bCs/>
          <w:sz w:val="24"/>
          <w:szCs w:val="24"/>
        </w:rPr>
        <w:t xml:space="preserve"> </w:t>
      </w:r>
      <w:r w:rsidR="002D274F">
        <w:rPr>
          <w:bCs/>
          <w:sz w:val="24"/>
          <w:szCs w:val="24"/>
        </w:rPr>
        <w:t>aceast</w:t>
      </w:r>
      <w:r w:rsidR="00D572F9">
        <w:rPr>
          <w:bCs/>
          <w:sz w:val="24"/>
          <w:szCs w:val="24"/>
        </w:rPr>
        <w:t>ă</w:t>
      </w:r>
      <w:r w:rsidR="002D274F">
        <w:rPr>
          <w:bCs/>
          <w:sz w:val="24"/>
          <w:szCs w:val="24"/>
        </w:rPr>
        <w:t xml:space="preserve"> situa</w:t>
      </w:r>
      <w:r w:rsidR="00D572F9">
        <w:rPr>
          <w:bCs/>
          <w:sz w:val="24"/>
          <w:szCs w:val="24"/>
        </w:rPr>
        <w:t>ț</w:t>
      </w:r>
      <w:r w:rsidR="002D274F">
        <w:rPr>
          <w:bCs/>
          <w:sz w:val="24"/>
          <w:szCs w:val="24"/>
        </w:rPr>
        <w:t>ie</w:t>
      </w:r>
      <w:r w:rsidRPr="00442F97">
        <w:rPr>
          <w:bCs/>
          <w:sz w:val="24"/>
          <w:szCs w:val="24"/>
        </w:rPr>
        <w:t xml:space="preserve"> </w:t>
      </w:r>
      <w:r w:rsidR="00D572F9">
        <w:rPr>
          <w:bCs/>
          <w:sz w:val="24"/>
          <w:szCs w:val="24"/>
        </w:rPr>
        <w:t xml:space="preserve">foarte complicată </w:t>
      </w:r>
      <w:r w:rsidRPr="00442F97">
        <w:rPr>
          <w:bCs/>
          <w:sz w:val="24"/>
          <w:szCs w:val="24"/>
        </w:rPr>
        <w:t>reclamă măsuri suplimentare de consolidare</w:t>
      </w:r>
      <w:r w:rsidR="00941D79" w:rsidRPr="00442F97">
        <w:rPr>
          <w:bCs/>
          <w:sz w:val="24"/>
          <w:szCs w:val="24"/>
        </w:rPr>
        <w:t xml:space="preserve">; </w:t>
      </w:r>
    </w:p>
    <w:p w14:paraId="46446A13" w14:textId="1211BDF1" w:rsidR="00F005CB" w:rsidRPr="00442F97" w:rsidRDefault="0084658F" w:rsidP="003B38CB">
      <w:pPr>
        <w:pStyle w:val="ListParagraph"/>
        <w:widowControl w:val="0"/>
        <w:numPr>
          <w:ilvl w:val="0"/>
          <w:numId w:val="12"/>
        </w:numPr>
        <w:spacing w:after="200" w:line="276" w:lineRule="auto"/>
        <w:ind w:left="993" w:hanging="641"/>
        <w:contextualSpacing w:val="0"/>
        <w:jc w:val="both"/>
        <w:rPr>
          <w:bCs/>
          <w:sz w:val="24"/>
          <w:szCs w:val="24"/>
        </w:rPr>
      </w:pPr>
      <w:r>
        <w:rPr>
          <w:sz w:val="24"/>
          <w:szCs w:val="24"/>
        </w:rPr>
        <w:lastRenderedPageBreak/>
        <w:t>M</w:t>
      </w:r>
      <w:r w:rsidR="00442F97" w:rsidRPr="00442F97">
        <w:rPr>
          <w:sz w:val="24"/>
          <w:szCs w:val="24"/>
        </w:rPr>
        <w:t>ajorarea programată a punctului de pensie cu 40% de la 1 septembrie 2020 a</w:t>
      </w:r>
      <w:r w:rsidR="00AB02E9">
        <w:rPr>
          <w:sz w:val="24"/>
          <w:szCs w:val="24"/>
        </w:rPr>
        <w:t>r avea</w:t>
      </w:r>
      <w:r w:rsidR="00442F97" w:rsidRPr="00442F97">
        <w:rPr>
          <w:sz w:val="24"/>
          <w:szCs w:val="24"/>
        </w:rPr>
        <w:t xml:space="preserve"> loc</w:t>
      </w:r>
      <w:r>
        <w:rPr>
          <w:sz w:val="24"/>
          <w:szCs w:val="24"/>
        </w:rPr>
        <w:t xml:space="preserve"> </w:t>
      </w:r>
      <w:r w:rsidR="00442F97" w:rsidRPr="00442F97">
        <w:rPr>
          <w:sz w:val="24"/>
          <w:szCs w:val="24"/>
        </w:rPr>
        <w:t xml:space="preserve">în contextul unui derapaj bugetar de proporții deja existent. Chiar fără această măsură estimarea CF privind deficitul bugetar pentru anul curent </w:t>
      </w:r>
      <w:r w:rsidR="00D572F9">
        <w:rPr>
          <w:sz w:val="24"/>
          <w:szCs w:val="24"/>
        </w:rPr>
        <w:t>este</w:t>
      </w:r>
      <w:r w:rsidR="00442F97" w:rsidRPr="00442F97">
        <w:rPr>
          <w:sz w:val="24"/>
          <w:szCs w:val="24"/>
        </w:rPr>
        <w:t xml:space="preserve"> de 3,8</w:t>
      </w:r>
      <w:r w:rsidR="00C700E8">
        <w:rPr>
          <w:sz w:val="24"/>
          <w:szCs w:val="24"/>
        </w:rPr>
        <w:t xml:space="preserve"> – 4,1%</w:t>
      </w:r>
      <w:r w:rsidR="00442F97" w:rsidRPr="00442F97">
        <w:rPr>
          <w:sz w:val="24"/>
          <w:szCs w:val="24"/>
        </w:rPr>
        <w:t xml:space="preserve"> din PIB</w:t>
      </w:r>
      <w:r w:rsidR="00D865EE" w:rsidRPr="00442F97">
        <w:rPr>
          <w:bCs/>
          <w:sz w:val="24"/>
          <w:szCs w:val="24"/>
        </w:rPr>
        <w:t>;</w:t>
      </w:r>
    </w:p>
    <w:p w14:paraId="0D0E6AB6" w14:textId="07E11537" w:rsidR="00226ED6" w:rsidRPr="00590C1A" w:rsidRDefault="0084658F" w:rsidP="003B38CB">
      <w:pPr>
        <w:pStyle w:val="ListParagraph"/>
        <w:widowControl w:val="0"/>
        <w:numPr>
          <w:ilvl w:val="0"/>
          <w:numId w:val="12"/>
        </w:numPr>
        <w:spacing w:after="200" w:line="276" w:lineRule="auto"/>
        <w:ind w:left="993" w:hanging="641"/>
        <w:contextualSpacing w:val="0"/>
        <w:jc w:val="both"/>
        <w:rPr>
          <w:bCs/>
          <w:sz w:val="24"/>
          <w:szCs w:val="24"/>
        </w:rPr>
      </w:pPr>
      <w:r>
        <w:rPr>
          <w:sz w:val="24"/>
          <w:szCs w:val="24"/>
        </w:rPr>
        <w:t>I</w:t>
      </w:r>
      <w:r w:rsidR="00442F97" w:rsidRPr="00442F97">
        <w:rPr>
          <w:sz w:val="24"/>
          <w:szCs w:val="24"/>
        </w:rPr>
        <w:t>mpactul majorării cu 40% a punctului de pensie de la 1 septembrie 2020</w:t>
      </w:r>
      <w:r w:rsidR="00267CF4">
        <w:rPr>
          <w:sz w:val="24"/>
          <w:szCs w:val="24"/>
        </w:rPr>
        <w:t>,</w:t>
      </w:r>
      <w:r w:rsidR="00442F97" w:rsidRPr="00442F97">
        <w:rPr>
          <w:sz w:val="24"/>
          <w:szCs w:val="24"/>
        </w:rPr>
        <w:t xml:space="preserve"> precum și al celorlalte măsuri cuprinse în noua lege a pensiilor va fi pe deplin observabil la nivelul anului 2021, </w:t>
      </w:r>
      <w:r w:rsidR="00226ED6">
        <w:rPr>
          <w:sz w:val="24"/>
          <w:szCs w:val="24"/>
        </w:rPr>
        <w:t>estimarea CF privind deficitul bugetar din anul următor fiind de peste 6% din PIB</w:t>
      </w:r>
      <w:r>
        <w:rPr>
          <w:sz w:val="24"/>
          <w:szCs w:val="24"/>
        </w:rPr>
        <w:t xml:space="preserve"> (</w:t>
      </w:r>
      <w:r w:rsidR="00267CF4">
        <w:rPr>
          <w:sz w:val="24"/>
          <w:szCs w:val="24"/>
        </w:rPr>
        <w:t>î</w:t>
      </w:r>
      <w:r>
        <w:rPr>
          <w:sz w:val="24"/>
          <w:szCs w:val="24"/>
        </w:rPr>
        <w:t>n lipsa unor m</w:t>
      </w:r>
      <w:r w:rsidR="00267CF4">
        <w:rPr>
          <w:sz w:val="24"/>
          <w:szCs w:val="24"/>
        </w:rPr>
        <w:t>ă</w:t>
      </w:r>
      <w:r>
        <w:rPr>
          <w:sz w:val="24"/>
          <w:szCs w:val="24"/>
        </w:rPr>
        <w:t>suri compensatorii)</w:t>
      </w:r>
      <w:r w:rsidR="00226ED6">
        <w:rPr>
          <w:sz w:val="24"/>
          <w:szCs w:val="24"/>
        </w:rPr>
        <w:t xml:space="preserve">. </w:t>
      </w:r>
      <w:r>
        <w:rPr>
          <w:sz w:val="24"/>
          <w:szCs w:val="24"/>
        </w:rPr>
        <w:t>D</w:t>
      </w:r>
      <w:r w:rsidR="00226ED6">
        <w:rPr>
          <w:sz w:val="24"/>
          <w:szCs w:val="24"/>
        </w:rPr>
        <w:t xml:space="preserve">eteriorarea </w:t>
      </w:r>
      <w:r>
        <w:rPr>
          <w:sz w:val="24"/>
          <w:szCs w:val="24"/>
        </w:rPr>
        <w:t xml:space="preserve">ar </w:t>
      </w:r>
      <w:r w:rsidR="00226ED6">
        <w:rPr>
          <w:sz w:val="24"/>
          <w:szCs w:val="24"/>
        </w:rPr>
        <w:t>continu</w:t>
      </w:r>
      <w:r>
        <w:rPr>
          <w:sz w:val="24"/>
          <w:szCs w:val="24"/>
        </w:rPr>
        <w:t>a</w:t>
      </w:r>
      <w:r w:rsidR="00226ED6">
        <w:rPr>
          <w:sz w:val="24"/>
          <w:szCs w:val="24"/>
        </w:rPr>
        <w:t xml:space="preserve"> și în anul 2022, la peste 7% din PIB. </w:t>
      </w:r>
      <w:r w:rsidR="00226ED6" w:rsidRPr="00226ED6">
        <w:rPr>
          <w:sz w:val="24"/>
          <w:szCs w:val="24"/>
        </w:rPr>
        <w:t>În aceste condiții, o corecție către niveluri apropiate</w:t>
      </w:r>
      <w:bookmarkStart w:id="0" w:name="_GoBack"/>
      <w:bookmarkEnd w:id="0"/>
      <w:r w:rsidR="00226ED6" w:rsidRPr="00226ED6">
        <w:rPr>
          <w:sz w:val="24"/>
          <w:szCs w:val="24"/>
        </w:rPr>
        <w:t xml:space="preserve"> de pragul de 3% din PIB pentru deficitul bugetar, avute în vedere de autorități în cadrul fiscal-bugetar pe termen mediu, apare</w:t>
      </w:r>
      <w:r w:rsidR="00D502EE">
        <w:rPr>
          <w:sz w:val="24"/>
          <w:szCs w:val="24"/>
        </w:rPr>
        <w:t xml:space="preserve"> drept</w:t>
      </w:r>
      <w:r w:rsidR="00226ED6" w:rsidRPr="00226ED6">
        <w:rPr>
          <w:sz w:val="24"/>
          <w:szCs w:val="24"/>
        </w:rPr>
        <w:t xml:space="preserve"> extrem de </w:t>
      </w:r>
      <w:r>
        <w:rPr>
          <w:sz w:val="24"/>
          <w:szCs w:val="24"/>
        </w:rPr>
        <w:t>ambi</w:t>
      </w:r>
      <w:r w:rsidR="00D572F9">
        <w:rPr>
          <w:sz w:val="24"/>
          <w:szCs w:val="24"/>
        </w:rPr>
        <w:t>ț</w:t>
      </w:r>
      <w:r>
        <w:rPr>
          <w:sz w:val="24"/>
          <w:szCs w:val="24"/>
        </w:rPr>
        <w:t>ioas</w:t>
      </w:r>
      <w:r w:rsidR="00D572F9">
        <w:rPr>
          <w:sz w:val="24"/>
          <w:szCs w:val="24"/>
        </w:rPr>
        <w:t>ă</w:t>
      </w:r>
      <w:r>
        <w:rPr>
          <w:sz w:val="24"/>
          <w:szCs w:val="24"/>
        </w:rPr>
        <w:t>,</w:t>
      </w:r>
      <w:r w:rsidR="00D502EE">
        <w:rPr>
          <w:sz w:val="24"/>
          <w:szCs w:val="24"/>
        </w:rPr>
        <w:t xml:space="preserve"> problematică și, totodată,</w:t>
      </w:r>
      <w:r>
        <w:rPr>
          <w:sz w:val="24"/>
          <w:szCs w:val="24"/>
        </w:rPr>
        <w:t xml:space="preserve"> este absolut necesar</w:t>
      </w:r>
      <w:r w:rsidR="00D572F9">
        <w:rPr>
          <w:sz w:val="24"/>
          <w:szCs w:val="24"/>
        </w:rPr>
        <w:t>ă</w:t>
      </w:r>
      <w:r w:rsidR="00C700E8">
        <w:rPr>
          <w:sz w:val="24"/>
          <w:szCs w:val="24"/>
        </w:rPr>
        <w:t>;</w:t>
      </w:r>
      <w:r>
        <w:rPr>
          <w:sz w:val="24"/>
          <w:szCs w:val="24"/>
        </w:rPr>
        <w:t xml:space="preserve"> este greu de imag</w:t>
      </w:r>
      <w:r w:rsidR="00590C1A">
        <w:rPr>
          <w:sz w:val="24"/>
          <w:szCs w:val="24"/>
        </w:rPr>
        <w:t>in</w:t>
      </w:r>
      <w:r>
        <w:rPr>
          <w:sz w:val="24"/>
          <w:szCs w:val="24"/>
        </w:rPr>
        <w:t>at c</w:t>
      </w:r>
      <w:r w:rsidR="00D572F9">
        <w:rPr>
          <w:sz w:val="24"/>
          <w:szCs w:val="24"/>
        </w:rPr>
        <w:t>ă</w:t>
      </w:r>
      <w:r>
        <w:rPr>
          <w:sz w:val="24"/>
          <w:szCs w:val="24"/>
        </w:rPr>
        <w:t xml:space="preserve"> pie</w:t>
      </w:r>
      <w:r w:rsidR="00D572F9">
        <w:rPr>
          <w:sz w:val="24"/>
          <w:szCs w:val="24"/>
        </w:rPr>
        <w:t>ț</w:t>
      </w:r>
      <w:r>
        <w:rPr>
          <w:sz w:val="24"/>
          <w:szCs w:val="24"/>
        </w:rPr>
        <w:t>ele financiare</w:t>
      </w:r>
      <w:r w:rsidR="00701748">
        <w:rPr>
          <w:sz w:val="24"/>
          <w:szCs w:val="24"/>
        </w:rPr>
        <w:t xml:space="preserve"> </w:t>
      </w:r>
      <w:r w:rsidR="00E6446D">
        <w:rPr>
          <w:sz w:val="24"/>
          <w:szCs w:val="24"/>
        </w:rPr>
        <w:t>ar tolera</w:t>
      </w:r>
      <w:r w:rsidR="00CE0A7D">
        <w:rPr>
          <w:sz w:val="24"/>
          <w:szCs w:val="24"/>
        </w:rPr>
        <w:t xml:space="preserve"> deficite bugetare de o asemenea magnitudine;</w:t>
      </w:r>
    </w:p>
    <w:p w14:paraId="419DD25C" w14:textId="7804A89E" w:rsidR="00CE0A7D" w:rsidRPr="00267CF4" w:rsidRDefault="00226ED6" w:rsidP="003B38CB">
      <w:pPr>
        <w:pStyle w:val="ListParagraph"/>
        <w:widowControl w:val="0"/>
        <w:numPr>
          <w:ilvl w:val="0"/>
          <w:numId w:val="12"/>
        </w:numPr>
        <w:spacing w:after="200" w:line="276" w:lineRule="auto"/>
        <w:ind w:left="993" w:hanging="641"/>
        <w:contextualSpacing w:val="0"/>
        <w:jc w:val="both"/>
        <w:rPr>
          <w:bCs/>
          <w:sz w:val="24"/>
          <w:szCs w:val="24"/>
        </w:rPr>
      </w:pPr>
      <w:r w:rsidRPr="00226ED6">
        <w:rPr>
          <w:sz w:val="24"/>
          <w:szCs w:val="24"/>
        </w:rPr>
        <w:t xml:space="preserve">În opinia CF, cu cât corecția bugetară va </w:t>
      </w:r>
      <w:r w:rsidR="0014283D">
        <w:rPr>
          <w:sz w:val="24"/>
          <w:szCs w:val="24"/>
        </w:rPr>
        <w:t>î</w:t>
      </w:r>
      <w:r w:rsidR="00AD371E">
        <w:rPr>
          <w:sz w:val="24"/>
          <w:szCs w:val="24"/>
        </w:rPr>
        <w:t>ncepe</w:t>
      </w:r>
      <w:r w:rsidRPr="00226ED6">
        <w:rPr>
          <w:sz w:val="24"/>
          <w:szCs w:val="24"/>
        </w:rPr>
        <w:t xml:space="preserve"> mai târziu, având în vedere și riscurile în</w:t>
      </w:r>
      <w:r w:rsidR="00267CF4">
        <w:rPr>
          <w:sz w:val="24"/>
          <w:szCs w:val="24"/>
        </w:rPr>
        <w:t xml:space="preserve"> </w:t>
      </w:r>
      <w:r w:rsidRPr="00267CF4">
        <w:rPr>
          <w:sz w:val="24"/>
          <w:szCs w:val="24"/>
        </w:rPr>
        <w:t xml:space="preserve">creștere în sensul unei performanțe economice și fiscale mai nefavorabile, cu atât </w:t>
      </w:r>
      <w:r w:rsidR="00590C1A" w:rsidRPr="00267CF4">
        <w:rPr>
          <w:sz w:val="24"/>
          <w:szCs w:val="24"/>
        </w:rPr>
        <w:t>amploarea</w:t>
      </w:r>
      <w:r w:rsidRPr="00267CF4">
        <w:rPr>
          <w:sz w:val="24"/>
          <w:szCs w:val="24"/>
        </w:rPr>
        <w:t xml:space="preserve"> măsurilor corective necesare </w:t>
      </w:r>
      <w:r w:rsidR="00973648" w:rsidRPr="00267CF4">
        <w:rPr>
          <w:sz w:val="24"/>
          <w:szCs w:val="24"/>
        </w:rPr>
        <w:t>ar</w:t>
      </w:r>
      <w:r w:rsidRPr="00267CF4">
        <w:rPr>
          <w:sz w:val="24"/>
          <w:szCs w:val="24"/>
        </w:rPr>
        <w:t xml:space="preserve"> fi mai ridicată și implicit costurile economice și sociale </w:t>
      </w:r>
      <w:r w:rsidR="00973648" w:rsidRPr="00267CF4">
        <w:rPr>
          <w:sz w:val="24"/>
          <w:szCs w:val="24"/>
        </w:rPr>
        <w:t>a</w:t>
      </w:r>
      <w:r w:rsidRPr="00267CF4">
        <w:rPr>
          <w:sz w:val="24"/>
          <w:szCs w:val="24"/>
        </w:rPr>
        <w:t>r fi mai însemnate</w:t>
      </w:r>
      <w:r w:rsidR="00267CF4">
        <w:rPr>
          <w:sz w:val="24"/>
          <w:szCs w:val="24"/>
        </w:rPr>
        <w:t>;</w:t>
      </w:r>
      <w:r w:rsidR="00E6446D">
        <w:rPr>
          <w:sz w:val="24"/>
          <w:szCs w:val="24"/>
        </w:rPr>
        <w:t xml:space="preserve"> </w:t>
      </w:r>
    </w:p>
    <w:p w14:paraId="287BE56D" w14:textId="7A0B2907" w:rsidR="00AD371E" w:rsidRPr="00AD371E" w:rsidRDefault="00CE0A7D" w:rsidP="003B38CB">
      <w:pPr>
        <w:pStyle w:val="ListParagraph"/>
        <w:widowControl w:val="0"/>
        <w:numPr>
          <w:ilvl w:val="0"/>
          <w:numId w:val="12"/>
        </w:numPr>
        <w:spacing w:after="200" w:line="276" w:lineRule="auto"/>
        <w:ind w:left="993" w:hanging="641"/>
        <w:contextualSpacing w:val="0"/>
        <w:jc w:val="both"/>
        <w:rPr>
          <w:bCs/>
          <w:sz w:val="24"/>
          <w:szCs w:val="24"/>
        </w:rPr>
      </w:pPr>
      <w:r>
        <w:rPr>
          <w:sz w:val="24"/>
          <w:szCs w:val="24"/>
        </w:rPr>
        <w:t>Corecția bugetară</w:t>
      </w:r>
      <w:r w:rsidR="00701748">
        <w:rPr>
          <w:sz w:val="24"/>
          <w:szCs w:val="24"/>
        </w:rPr>
        <w:t xml:space="preserve"> este reclamat</w:t>
      </w:r>
      <w:r w:rsidR="00E6446D">
        <w:rPr>
          <w:sz w:val="24"/>
          <w:szCs w:val="24"/>
        </w:rPr>
        <w:t>ă</w:t>
      </w:r>
      <w:r w:rsidR="00701748">
        <w:rPr>
          <w:sz w:val="24"/>
          <w:szCs w:val="24"/>
        </w:rPr>
        <w:t xml:space="preserve"> nu </w:t>
      </w:r>
      <w:r>
        <w:rPr>
          <w:sz w:val="24"/>
          <w:szCs w:val="24"/>
        </w:rPr>
        <w:t>numai</w:t>
      </w:r>
      <w:r w:rsidR="00701748">
        <w:rPr>
          <w:sz w:val="24"/>
          <w:szCs w:val="24"/>
        </w:rPr>
        <w:t xml:space="preserve"> </w:t>
      </w:r>
      <w:r>
        <w:rPr>
          <w:sz w:val="24"/>
          <w:szCs w:val="24"/>
        </w:rPr>
        <w:t xml:space="preserve">de </w:t>
      </w:r>
      <w:r w:rsidR="00701748">
        <w:rPr>
          <w:sz w:val="24"/>
          <w:szCs w:val="24"/>
        </w:rPr>
        <w:t>pericolul intr</w:t>
      </w:r>
      <w:r>
        <w:rPr>
          <w:sz w:val="24"/>
          <w:szCs w:val="24"/>
        </w:rPr>
        <w:t>ă</w:t>
      </w:r>
      <w:r w:rsidR="00701748">
        <w:rPr>
          <w:sz w:val="24"/>
          <w:szCs w:val="24"/>
        </w:rPr>
        <w:t>rii sub inciden</w:t>
      </w:r>
      <w:r w:rsidR="007512BB">
        <w:rPr>
          <w:sz w:val="24"/>
          <w:szCs w:val="24"/>
        </w:rPr>
        <w:t>ț</w:t>
      </w:r>
      <w:r w:rsidR="00701748">
        <w:rPr>
          <w:sz w:val="24"/>
          <w:szCs w:val="24"/>
        </w:rPr>
        <w:t>a PDE, c</w:t>
      </w:r>
      <w:r>
        <w:rPr>
          <w:sz w:val="24"/>
          <w:szCs w:val="24"/>
        </w:rPr>
        <w:t>i</w:t>
      </w:r>
      <w:r w:rsidR="00701748">
        <w:rPr>
          <w:sz w:val="24"/>
          <w:szCs w:val="24"/>
        </w:rPr>
        <w:t xml:space="preserve"> </w:t>
      </w:r>
      <w:r>
        <w:rPr>
          <w:sz w:val="24"/>
          <w:szCs w:val="24"/>
        </w:rPr>
        <w:t xml:space="preserve">și </w:t>
      </w:r>
      <w:r w:rsidR="00701748">
        <w:rPr>
          <w:sz w:val="24"/>
          <w:szCs w:val="24"/>
        </w:rPr>
        <w:t>de necesitatea de a demonstra c</w:t>
      </w:r>
      <w:r>
        <w:rPr>
          <w:sz w:val="24"/>
          <w:szCs w:val="24"/>
        </w:rPr>
        <w:t>ă</w:t>
      </w:r>
      <w:r w:rsidR="00701748">
        <w:rPr>
          <w:sz w:val="24"/>
          <w:szCs w:val="24"/>
        </w:rPr>
        <w:t xml:space="preserve"> suntem </w:t>
      </w:r>
      <w:r>
        <w:rPr>
          <w:sz w:val="24"/>
          <w:szCs w:val="24"/>
        </w:rPr>
        <w:t>î</w:t>
      </w:r>
      <w:r w:rsidR="00701748">
        <w:rPr>
          <w:sz w:val="24"/>
          <w:szCs w:val="24"/>
        </w:rPr>
        <w:t>n stare s</w:t>
      </w:r>
      <w:r>
        <w:rPr>
          <w:sz w:val="24"/>
          <w:szCs w:val="24"/>
        </w:rPr>
        <w:t>ă</w:t>
      </w:r>
      <w:r w:rsidR="00701748">
        <w:rPr>
          <w:sz w:val="24"/>
          <w:szCs w:val="24"/>
        </w:rPr>
        <w:t xml:space="preserve"> rec</w:t>
      </w:r>
      <w:r>
        <w:rPr>
          <w:sz w:val="24"/>
          <w:szCs w:val="24"/>
        </w:rPr>
        <w:t>âș</w:t>
      </w:r>
      <w:r w:rsidR="00701748">
        <w:rPr>
          <w:sz w:val="24"/>
          <w:szCs w:val="24"/>
        </w:rPr>
        <w:t>tig</w:t>
      </w:r>
      <w:r>
        <w:rPr>
          <w:sz w:val="24"/>
          <w:szCs w:val="24"/>
        </w:rPr>
        <w:t>ă</w:t>
      </w:r>
      <w:r w:rsidR="00701748">
        <w:rPr>
          <w:sz w:val="24"/>
          <w:szCs w:val="24"/>
        </w:rPr>
        <w:t>m controlul asupra finan</w:t>
      </w:r>
      <w:r>
        <w:rPr>
          <w:sz w:val="24"/>
          <w:szCs w:val="24"/>
        </w:rPr>
        <w:t>ț</w:t>
      </w:r>
      <w:r w:rsidR="00701748">
        <w:rPr>
          <w:sz w:val="24"/>
          <w:szCs w:val="24"/>
        </w:rPr>
        <w:t xml:space="preserve">elor publice; </w:t>
      </w:r>
      <w:r w:rsidR="00502D09">
        <w:rPr>
          <w:sz w:val="24"/>
          <w:szCs w:val="24"/>
        </w:rPr>
        <w:t>corecțiile induse de piețele financiare sunt mai dureroase decât cele realizate intern</w:t>
      </w:r>
      <w:r w:rsidR="007512BB">
        <w:rPr>
          <w:sz w:val="24"/>
          <w:szCs w:val="24"/>
        </w:rPr>
        <w:t xml:space="preserve"> și din timp</w:t>
      </w:r>
      <w:r w:rsidR="0014283D">
        <w:rPr>
          <w:sz w:val="24"/>
          <w:szCs w:val="24"/>
        </w:rPr>
        <w:t>;</w:t>
      </w:r>
    </w:p>
    <w:p w14:paraId="479A0DEE" w14:textId="64A50A65" w:rsidR="00701748" w:rsidRPr="00267CF4" w:rsidRDefault="00CE0A7D" w:rsidP="003B38CB">
      <w:pPr>
        <w:pStyle w:val="ListParagraph"/>
        <w:widowControl w:val="0"/>
        <w:numPr>
          <w:ilvl w:val="0"/>
          <w:numId w:val="12"/>
        </w:numPr>
        <w:spacing w:after="200" w:line="276" w:lineRule="auto"/>
        <w:ind w:left="993" w:hanging="641"/>
        <w:contextualSpacing w:val="0"/>
        <w:jc w:val="both"/>
        <w:rPr>
          <w:bCs/>
          <w:sz w:val="24"/>
          <w:szCs w:val="24"/>
        </w:rPr>
      </w:pPr>
      <w:r>
        <w:rPr>
          <w:sz w:val="24"/>
          <w:szCs w:val="24"/>
        </w:rPr>
        <w:t>Consolidarea bugetară este esențială pentru consolidarea macroeconomică;</w:t>
      </w:r>
      <w:r w:rsidR="00AD371E">
        <w:rPr>
          <w:sz w:val="24"/>
          <w:szCs w:val="24"/>
        </w:rPr>
        <w:t xml:space="preserve"> </w:t>
      </w:r>
    </w:p>
    <w:p w14:paraId="1E329DB2" w14:textId="3BA08A35" w:rsidR="00AE4488" w:rsidRPr="00267CF4" w:rsidRDefault="007512BB" w:rsidP="003B38CB">
      <w:pPr>
        <w:pStyle w:val="ListParagraph"/>
        <w:widowControl w:val="0"/>
        <w:numPr>
          <w:ilvl w:val="0"/>
          <w:numId w:val="12"/>
        </w:numPr>
        <w:spacing w:after="200" w:line="276" w:lineRule="auto"/>
        <w:ind w:left="993" w:hanging="641"/>
        <w:contextualSpacing w:val="0"/>
        <w:jc w:val="both"/>
        <w:rPr>
          <w:bCs/>
          <w:sz w:val="24"/>
          <w:szCs w:val="24"/>
        </w:rPr>
      </w:pPr>
      <w:r>
        <w:rPr>
          <w:rFonts w:cs="Calibri"/>
          <w:bCs/>
          <w:sz w:val="24"/>
          <w:szCs w:val="24"/>
        </w:rPr>
        <w:t>Este de salutat</w:t>
      </w:r>
      <w:r w:rsidR="00AE4488" w:rsidRPr="00267CF4">
        <w:rPr>
          <w:rFonts w:cs="Calibri"/>
          <w:bCs/>
          <w:sz w:val="24"/>
          <w:szCs w:val="24"/>
        </w:rPr>
        <w:t xml:space="preserve"> intenția Guvernului de a reforma ANAF, inclusiv prin informatizarea activități</w:t>
      </w:r>
      <w:r w:rsidR="00AE4488">
        <w:rPr>
          <w:rFonts w:cs="Calibri"/>
          <w:bCs/>
          <w:sz w:val="24"/>
          <w:szCs w:val="24"/>
        </w:rPr>
        <w:t>i de colectare a veniturilor, care</w:t>
      </w:r>
      <w:r w:rsidR="00AE4488" w:rsidRPr="00267CF4">
        <w:rPr>
          <w:rFonts w:cs="Calibri"/>
          <w:bCs/>
          <w:sz w:val="24"/>
          <w:szCs w:val="24"/>
        </w:rPr>
        <w:t xml:space="preserve"> poate </w:t>
      </w:r>
      <w:r w:rsidR="00AE4488">
        <w:rPr>
          <w:rFonts w:cs="Calibri"/>
          <w:bCs/>
          <w:sz w:val="24"/>
          <w:szCs w:val="24"/>
        </w:rPr>
        <w:t xml:space="preserve">sprijini în mod semnificativ </w:t>
      </w:r>
      <w:r w:rsidR="00AE4488" w:rsidRPr="00267CF4">
        <w:rPr>
          <w:rFonts w:cs="Calibri"/>
          <w:bCs/>
          <w:sz w:val="24"/>
          <w:szCs w:val="24"/>
        </w:rPr>
        <w:t>consolidarea bugetar</w:t>
      </w:r>
      <w:r w:rsidR="00AE4488">
        <w:rPr>
          <w:rFonts w:cs="Calibri"/>
          <w:bCs/>
          <w:sz w:val="24"/>
          <w:szCs w:val="24"/>
        </w:rPr>
        <w:t>ă</w:t>
      </w:r>
      <w:r w:rsidR="00267CF4">
        <w:rPr>
          <w:rFonts w:cs="Calibri"/>
          <w:bCs/>
          <w:sz w:val="24"/>
          <w:szCs w:val="24"/>
        </w:rPr>
        <w:t>;</w:t>
      </w:r>
    </w:p>
    <w:p w14:paraId="3182B55C" w14:textId="2C5ECCDF" w:rsidR="00590C1A" w:rsidRPr="00267CF4" w:rsidRDefault="00590C1A" w:rsidP="003B38CB">
      <w:pPr>
        <w:pStyle w:val="ListParagraph"/>
        <w:widowControl w:val="0"/>
        <w:numPr>
          <w:ilvl w:val="0"/>
          <w:numId w:val="12"/>
        </w:numPr>
        <w:spacing w:after="200" w:line="276" w:lineRule="auto"/>
        <w:ind w:left="993" w:hanging="641"/>
        <w:contextualSpacing w:val="0"/>
        <w:jc w:val="both"/>
        <w:rPr>
          <w:bCs/>
          <w:sz w:val="24"/>
          <w:szCs w:val="24"/>
        </w:rPr>
      </w:pPr>
      <w:r>
        <w:rPr>
          <w:sz w:val="24"/>
          <w:szCs w:val="24"/>
        </w:rPr>
        <w:t>Activismul fiscal/bugetar pentru care se pl</w:t>
      </w:r>
      <w:r w:rsidR="002D274F">
        <w:rPr>
          <w:sz w:val="24"/>
          <w:szCs w:val="24"/>
        </w:rPr>
        <w:t>e</w:t>
      </w:r>
      <w:r>
        <w:rPr>
          <w:sz w:val="24"/>
          <w:szCs w:val="24"/>
        </w:rPr>
        <w:t>deaz</w:t>
      </w:r>
      <w:r w:rsidR="007512BB">
        <w:rPr>
          <w:sz w:val="24"/>
          <w:szCs w:val="24"/>
        </w:rPr>
        <w:t>ă</w:t>
      </w:r>
      <w:r>
        <w:rPr>
          <w:sz w:val="24"/>
          <w:szCs w:val="24"/>
        </w:rPr>
        <w:t xml:space="preserve"> </w:t>
      </w:r>
      <w:r w:rsidR="00267CF4">
        <w:rPr>
          <w:sz w:val="24"/>
          <w:szCs w:val="24"/>
        </w:rPr>
        <w:t>î</w:t>
      </w:r>
      <w:r>
        <w:rPr>
          <w:sz w:val="24"/>
          <w:szCs w:val="24"/>
        </w:rPr>
        <w:t xml:space="preserve">n alte </w:t>
      </w:r>
      <w:r w:rsidR="00267CF4">
        <w:rPr>
          <w:sz w:val="24"/>
          <w:szCs w:val="24"/>
        </w:rPr>
        <w:t>ță</w:t>
      </w:r>
      <w:r>
        <w:rPr>
          <w:sz w:val="24"/>
          <w:szCs w:val="24"/>
        </w:rPr>
        <w:t>ri din UE</w:t>
      </w:r>
      <w:r w:rsidR="00973648">
        <w:rPr>
          <w:sz w:val="24"/>
          <w:szCs w:val="24"/>
        </w:rPr>
        <w:t xml:space="preserve"> </w:t>
      </w:r>
      <w:r w:rsidR="007512BB">
        <w:rPr>
          <w:sz w:val="24"/>
          <w:szCs w:val="24"/>
        </w:rPr>
        <w:t>ș</w:t>
      </w:r>
      <w:r w:rsidR="00973648">
        <w:rPr>
          <w:sz w:val="24"/>
          <w:szCs w:val="24"/>
        </w:rPr>
        <w:t xml:space="preserve">i </w:t>
      </w:r>
      <w:r w:rsidR="007512BB">
        <w:rPr>
          <w:sz w:val="24"/>
          <w:szCs w:val="24"/>
        </w:rPr>
        <w:t>î</w:t>
      </w:r>
      <w:r w:rsidR="00973648">
        <w:rPr>
          <w:sz w:val="24"/>
          <w:szCs w:val="24"/>
        </w:rPr>
        <w:t>n SUA</w:t>
      </w:r>
      <w:r>
        <w:rPr>
          <w:sz w:val="24"/>
          <w:szCs w:val="24"/>
        </w:rPr>
        <w:t xml:space="preserve"> nu </w:t>
      </w:r>
      <w:r w:rsidR="007512BB">
        <w:rPr>
          <w:sz w:val="24"/>
          <w:szCs w:val="24"/>
        </w:rPr>
        <w:t>este practicabil</w:t>
      </w:r>
      <w:r>
        <w:rPr>
          <w:sz w:val="24"/>
          <w:szCs w:val="24"/>
        </w:rPr>
        <w:t xml:space="preserve"> </w:t>
      </w:r>
      <w:r w:rsidR="007512BB">
        <w:rPr>
          <w:sz w:val="24"/>
          <w:szCs w:val="24"/>
        </w:rPr>
        <w:t>î</w:t>
      </w:r>
      <w:r>
        <w:rPr>
          <w:sz w:val="24"/>
          <w:szCs w:val="24"/>
        </w:rPr>
        <w:t>n condi</w:t>
      </w:r>
      <w:r w:rsidR="007512BB">
        <w:rPr>
          <w:sz w:val="24"/>
          <w:szCs w:val="24"/>
        </w:rPr>
        <w:t>ț</w:t>
      </w:r>
      <w:r>
        <w:rPr>
          <w:sz w:val="24"/>
          <w:szCs w:val="24"/>
        </w:rPr>
        <w:t>iile deficitelor inte</w:t>
      </w:r>
      <w:r w:rsidR="00973648">
        <w:rPr>
          <w:sz w:val="24"/>
          <w:szCs w:val="24"/>
        </w:rPr>
        <w:t>r</w:t>
      </w:r>
      <w:r>
        <w:rPr>
          <w:sz w:val="24"/>
          <w:szCs w:val="24"/>
        </w:rPr>
        <w:t xml:space="preserve">ne </w:t>
      </w:r>
      <w:r w:rsidR="00267CF4">
        <w:rPr>
          <w:sz w:val="24"/>
          <w:szCs w:val="24"/>
        </w:rPr>
        <w:t>ș</w:t>
      </w:r>
      <w:r>
        <w:rPr>
          <w:sz w:val="24"/>
          <w:szCs w:val="24"/>
        </w:rPr>
        <w:t>i externe mari ale Rom</w:t>
      </w:r>
      <w:r w:rsidR="007512BB">
        <w:rPr>
          <w:sz w:val="24"/>
          <w:szCs w:val="24"/>
        </w:rPr>
        <w:t>â</w:t>
      </w:r>
      <w:r>
        <w:rPr>
          <w:sz w:val="24"/>
          <w:szCs w:val="24"/>
        </w:rPr>
        <w:t>niei; not</w:t>
      </w:r>
      <w:r w:rsidR="007512BB">
        <w:rPr>
          <w:sz w:val="24"/>
          <w:szCs w:val="24"/>
        </w:rPr>
        <w:t>ă</w:t>
      </w:r>
      <w:r>
        <w:rPr>
          <w:sz w:val="24"/>
          <w:szCs w:val="24"/>
        </w:rPr>
        <w:t>m aici c</w:t>
      </w:r>
      <w:r w:rsidR="007512BB">
        <w:rPr>
          <w:sz w:val="24"/>
          <w:szCs w:val="24"/>
        </w:rPr>
        <w:t>ă</w:t>
      </w:r>
      <w:r>
        <w:rPr>
          <w:sz w:val="24"/>
          <w:szCs w:val="24"/>
        </w:rPr>
        <w:t xml:space="preserve"> leul nu este moned</w:t>
      </w:r>
      <w:r w:rsidR="007512BB">
        <w:rPr>
          <w:sz w:val="24"/>
          <w:szCs w:val="24"/>
        </w:rPr>
        <w:t>ă</w:t>
      </w:r>
      <w:r>
        <w:rPr>
          <w:sz w:val="24"/>
          <w:szCs w:val="24"/>
        </w:rPr>
        <w:t xml:space="preserve"> de re</w:t>
      </w:r>
      <w:r w:rsidR="002D274F">
        <w:rPr>
          <w:sz w:val="24"/>
          <w:szCs w:val="24"/>
        </w:rPr>
        <w:t>z</w:t>
      </w:r>
      <w:r>
        <w:rPr>
          <w:sz w:val="24"/>
          <w:szCs w:val="24"/>
        </w:rPr>
        <w:t>erv</w:t>
      </w:r>
      <w:r w:rsidR="007512BB">
        <w:rPr>
          <w:sz w:val="24"/>
          <w:szCs w:val="24"/>
        </w:rPr>
        <w:t>ă</w:t>
      </w:r>
      <w:r w:rsidR="00202BF5">
        <w:rPr>
          <w:sz w:val="24"/>
          <w:szCs w:val="24"/>
        </w:rPr>
        <w:t>;</w:t>
      </w:r>
    </w:p>
    <w:p w14:paraId="51C1205E" w14:textId="4B2E26F1" w:rsidR="00226ED6" w:rsidRDefault="0084658F" w:rsidP="003B38CB">
      <w:pPr>
        <w:pStyle w:val="ListParagraph"/>
        <w:widowControl w:val="0"/>
        <w:numPr>
          <w:ilvl w:val="0"/>
          <w:numId w:val="12"/>
        </w:numPr>
        <w:spacing w:after="200" w:line="276" w:lineRule="auto"/>
        <w:ind w:left="993" w:hanging="641"/>
        <w:contextualSpacing w:val="0"/>
        <w:jc w:val="both"/>
      </w:pPr>
      <w:r w:rsidRPr="00267CF4">
        <w:rPr>
          <w:bCs/>
          <w:sz w:val="24"/>
          <w:szCs w:val="24"/>
        </w:rPr>
        <w:t xml:space="preserve">Politica fiscal-bugetară își menține caracterul expansionist, chiar și în condițiile unui deficit bugetar care a depășit considerabil pragul de 3% din PIB aferent brațului corectiv al Pactului de Stabilitate și Creștere. Această evoluție este în contradicție cu regulile fiscale naționale și europene, cu </w:t>
      </w:r>
      <w:r w:rsidR="007512BB">
        <w:rPr>
          <w:bCs/>
          <w:sz w:val="24"/>
          <w:szCs w:val="24"/>
        </w:rPr>
        <w:t>articularea</w:t>
      </w:r>
      <w:r w:rsidRPr="00267CF4">
        <w:rPr>
          <w:bCs/>
          <w:sz w:val="24"/>
          <w:szCs w:val="24"/>
        </w:rPr>
        <w:t xml:space="preserve"> politicii fiscale a tuturor celorlalte țări</w:t>
      </w:r>
      <w:r w:rsidR="00AD371E">
        <w:rPr>
          <w:bCs/>
          <w:sz w:val="24"/>
          <w:szCs w:val="24"/>
        </w:rPr>
        <w:t xml:space="preserve"> (except</w:t>
      </w:r>
      <w:r w:rsidR="0014283D">
        <w:rPr>
          <w:bCs/>
          <w:sz w:val="24"/>
          <w:szCs w:val="24"/>
        </w:rPr>
        <w:t>â</w:t>
      </w:r>
      <w:r w:rsidR="00AD371E">
        <w:rPr>
          <w:bCs/>
          <w:sz w:val="24"/>
          <w:szCs w:val="24"/>
        </w:rPr>
        <w:t>nd Estonia)</w:t>
      </w:r>
      <w:r w:rsidRPr="00267CF4">
        <w:rPr>
          <w:bCs/>
          <w:sz w:val="24"/>
          <w:szCs w:val="24"/>
        </w:rPr>
        <w:t xml:space="preserve"> din UE</w:t>
      </w:r>
      <w:r w:rsidR="00202BF5">
        <w:rPr>
          <w:bCs/>
          <w:sz w:val="24"/>
          <w:szCs w:val="24"/>
        </w:rPr>
        <w:t>.</w:t>
      </w:r>
    </w:p>
    <w:p w14:paraId="0C8B7E89" w14:textId="77777777" w:rsidR="002A4865" w:rsidRDefault="002A4865" w:rsidP="00267CF4">
      <w:pPr>
        <w:widowControl w:val="0"/>
        <w:spacing w:after="200" w:line="276" w:lineRule="auto"/>
        <w:jc w:val="both"/>
        <w:rPr>
          <w:bCs/>
          <w:sz w:val="24"/>
          <w:szCs w:val="24"/>
        </w:rPr>
        <w:sectPr w:rsidR="002A4865" w:rsidSect="00267CF4">
          <w:footerReference w:type="default" r:id="rId9"/>
          <w:headerReference w:type="first" r:id="rId10"/>
          <w:pgSz w:w="12240" w:h="15840"/>
          <w:pgMar w:top="1418" w:right="851" w:bottom="1418" w:left="992" w:header="708" w:footer="708" w:gutter="0"/>
          <w:cols w:space="708"/>
          <w:titlePg/>
          <w:docGrid w:linePitch="360"/>
        </w:sectPr>
      </w:pPr>
    </w:p>
    <w:p w14:paraId="0F7F884D" w14:textId="2BDDBDE7" w:rsidR="00B635FE" w:rsidRDefault="00590C1A" w:rsidP="00F005CB">
      <w:pPr>
        <w:widowControl w:val="0"/>
        <w:spacing w:after="200" w:line="276" w:lineRule="auto"/>
        <w:jc w:val="center"/>
        <w:rPr>
          <w:b/>
          <w:color w:val="0070C0"/>
          <w:sz w:val="28"/>
          <w:szCs w:val="28"/>
        </w:rPr>
      </w:pPr>
      <w:r>
        <w:rPr>
          <w:b/>
          <w:color w:val="0070C0"/>
          <w:sz w:val="28"/>
          <w:szCs w:val="28"/>
        </w:rPr>
        <w:lastRenderedPageBreak/>
        <w:t>O</w:t>
      </w:r>
      <w:r w:rsidR="00B635FE" w:rsidRPr="00B635FE">
        <w:rPr>
          <w:b/>
          <w:color w:val="0070C0"/>
          <w:sz w:val="28"/>
          <w:szCs w:val="28"/>
        </w:rPr>
        <w:t>pini</w:t>
      </w:r>
      <w:r w:rsidR="00202BF5">
        <w:rPr>
          <w:b/>
          <w:color w:val="0070C0"/>
          <w:sz w:val="28"/>
          <w:szCs w:val="28"/>
        </w:rPr>
        <w:t>a</w:t>
      </w:r>
      <w:r w:rsidR="00B635FE" w:rsidRPr="00B635FE">
        <w:rPr>
          <w:b/>
          <w:color w:val="0070C0"/>
          <w:sz w:val="28"/>
          <w:szCs w:val="28"/>
        </w:rPr>
        <w:t xml:space="preserve"> Consiliului Fiscal </w:t>
      </w:r>
      <w:r>
        <w:rPr>
          <w:b/>
          <w:color w:val="0070C0"/>
          <w:sz w:val="28"/>
          <w:szCs w:val="28"/>
        </w:rPr>
        <w:t>privind</w:t>
      </w:r>
      <w:r w:rsidR="00B635FE" w:rsidRPr="00B635FE">
        <w:rPr>
          <w:b/>
          <w:color w:val="0070C0"/>
          <w:sz w:val="28"/>
          <w:szCs w:val="28"/>
        </w:rPr>
        <w:t xml:space="preserve"> Legea bugetului de stat </w:t>
      </w:r>
      <w:r w:rsidR="00202BF5">
        <w:rPr>
          <w:b/>
          <w:color w:val="0070C0"/>
          <w:sz w:val="28"/>
          <w:szCs w:val="28"/>
        </w:rPr>
        <w:t xml:space="preserve">și </w:t>
      </w:r>
      <w:r w:rsidR="00B635FE" w:rsidRPr="00B635FE">
        <w:rPr>
          <w:b/>
          <w:color w:val="0070C0"/>
          <w:sz w:val="28"/>
          <w:szCs w:val="28"/>
        </w:rPr>
        <w:t>Legea bugetului de asigurări sociale pentru anul 2020</w:t>
      </w:r>
    </w:p>
    <w:p w14:paraId="029D25E9" w14:textId="172F5FEB" w:rsidR="00321EE7" w:rsidRPr="00B3785A" w:rsidRDefault="00F005CB" w:rsidP="00F005CB">
      <w:pPr>
        <w:widowControl w:val="0"/>
        <w:spacing w:after="200" w:line="276" w:lineRule="auto"/>
        <w:jc w:val="center"/>
        <w:rPr>
          <w:b/>
          <w:color w:val="0070C0"/>
          <w:sz w:val="28"/>
          <w:szCs w:val="28"/>
        </w:rPr>
      </w:pPr>
      <w:r w:rsidRPr="00F005CB">
        <w:rPr>
          <w:b/>
          <w:color w:val="0070C0"/>
          <w:sz w:val="28"/>
          <w:szCs w:val="28"/>
        </w:rPr>
        <w:tab/>
      </w:r>
    </w:p>
    <w:p w14:paraId="4ED56A4B" w14:textId="0F578502" w:rsidR="00260658" w:rsidRDefault="00260658" w:rsidP="003B38CB">
      <w:pPr>
        <w:widowControl w:val="0"/>
        <w:spacing w:after="200" w:line="276" w:lineRule="auto"/>
        <w:jc w:val="both"/>
        <w:rPr>
          <w:rFonts w:cs="Calibri"/>
          <w:bCs/>
          <w:sz w:val="24"/>
          <w:szCs w:val="24"/>
        </w:rPr>
      </w:pPr>
      <w:r>
        <w:rPr>
          <w:rFonts w:cs="Calibri"/>
          <w:bCs/>
          <w:sz w:val="24"/>
          <w:szCs w:val="24"/>
        </w:rPr>
        <w:t xml:space="preserve">Ca urmare a adresei </w:t>
      </w:r>
      <w:r w:rsidRPr="00BE2DA9">
        <w:rPr>
          <w:rFonts w:cs="Calibri"/>
          <w:bCs/>
          <w:sz w:val="24"/>
          <w:szCs w:val="24"/>
        </w:rPr>
        <w:t xml:space="preserve">nr. </w:t>
      </w:r>
      <w:r w:rsidRPr="00E10AC4">
        <w:rPr>
          <w:rFonts w:cs="Calibri"/>
          <w:bCs/>
          <w:sz w:val="24"/>
          <w:szCs w:val="24"/>
        </w:rPr>
        <w:t>467417</w:t>
      </w:r>
      <w:r>
        <w:rPr>
          <w:rFonts w:cs="Calibri"/>
          <w:bCs/>
          <w:sz w:val="24"/>
          <w:szCs w:val="24"/>
        </w:rPr>
        <w:t>/16.12.</w:t>
      </w:r>
      <w:r w:rsidRPr="00BE2DA9">
        <w:rPr>
          <w:rFonts w:cs="Calibri"/>
          <w:bCs/>
          <w:sz w:val="24"/>
          <w:szCs w:val="24"/>
        </w:rPr>
        <w:t>20</w:t>
      </w:r>
      <w:r>
        <w:rPr>
          <w:rFonts w:cs="Calibri"/>
          <w:bCs/>
          <w:sz w:val="24"/>
          <w:szCs w:val="24"/>
        </w:rPr>
        <w:t xml:space="preserve">20 primite din partea Ministerului Finanțelor Publice (MFP), </w:t>
      </w:r>
      <w:r w:rsidRPr="00BE2DA9">
        <w:rPr>
          <w:rFonts w:cs="Calibri"/>
          <w:bCs/>
          <w:sz w:val="24"/>
          <w:szCs w:val="24"/>
        </w:rPr>
        <w:t xml:space="preserve">Consiliul </w:t>
      </w:r>
      <w:r>
        <w:rPr>
          <w:rFonts w:cs="Calibri"/>
          <w:bCs/>
          <w:sz w:val="24"/>
          <w:szCs w:val="24"/>
        </w:rPr>
        <w:t>F</w:t>
      </w:r>
      <w:r w:rsidRPr="00BE2DA9">
        <w:rPr>
          <w:rFonts w:cs="Calibri"/>
          <w:bCs/>
          <w:sz w:val="24"/>
          <w:szCs w:val="24"/>
        </w:rPr>
        <w:t xml:space="preserve">iscal </w:t>
      </w:r>
      <w:r>
        <w:rPr>
          <w:rFonts w:cs="Calibri"/>
          <w:bCs/>
          <w:sz w:val="24"/>
          <w:szCs w:val="24"/>
        </w:rPr>
        <w:t xml:space="preserve">(CF) </w:t>
      </w:r>
      <w:r w:rsidRPr="00BE2DA9">
        <w:rPr>
          <w:rFonts w:cs="Calibri"/>
          <w:bCs/>
          <w:sz w:val="24"/>
          <w:szCs w:val="24"/>
        </w:rPr>
        <w:t xml:space="preserve">a </w:t>
      </w:r>
      <w:r>
        <w:rPr>
          <w:rFonts w:cs="Calibri"/>
          <w:bCs/>
          <w:sz w:val="24"/>
          <w:szCs w:val="24"/>
        </w:rPr>
        <w:t xml:space="preserve">emis în data de 18.12.2019 o opinie preliminară asupra </w:t>
      </w:r>
      <w:r w:rsidRPr="00BE2DA9">
        <w:rPr>
          <w:rFonts w:cs="Calibri"/>
          <w:bCs/>
          <w:sz w:val="24"/>
          <w:szCs w:val="24"/>
        </w:rPr>
        <w:t>Raportul</w:t>
      </w:r>
      <w:r>
        <w:rPr>
          <w:rFonts w:cs="Calibri"/>
          <w:bCs/>
          <w:sz w:val="24"/>
          <w:szCs w:val="24"/>
        </w:rPr>
        <w:t>ui</w:t>
      </w:r>
      <w:r w:rsidRPr="00BE2DA9">
        <w:rPr>
          <w:rFonts w:cs="Calibri"/>
          <w:bCs/>
          <w:sz w:val="24"/>
          <w:szCs w:val="24"/>
        </w:rPr>
        <w:t xml:space="preserve"> privind situația macroeconomică pentru anul 20</w:t>
      </w:r>
      <w:r>
        <w:rPr>
          <w:rFonts w:cs="Calibri"/>
          <w:bCs/>
          <w:sz w:val="24"/>
          <w:szCs w:val="24"/>
        </w:rPr>
        <w:t>20</w:t>
      </w:r>
      <w:r w:rsidRPr="00BE2DA9">
        <w:rPr>
          <w:rFonts w:cs="Calibri"/>
          <w:bCs/>
          <w:sz w:val="24"/>
          <w:szCs w:val="24"/>
        </w:rPr>
        <w:t xml:space="preserve"> și proiecția acesteia în perioada 20</w:t>
      </w:r>
      <w:r>
        <w:rPr>
          <w:rFonts w:cs="Calibri"/>
          <w:bCs/>
          <w:sz w:val="24"/>
          <w:szCs w:val="24"/>
        </w:rPr>
        <w:t>21</w:t>
      </w:r>
      <w:r w:rsidRPr="00BE2DA9">
        <w:rPr>
          <w:rFonts w:cs="Calibri"/>
          <w:bCs/>
          <w:sz w:val="24"/>
          <w:szCs w:val="24"/>
        </w:rPr>
        <w:t>-202</w:t>
      </w:r>
      <w:r>
        <w:rPr>
          <w:rFonts w:cs="Calibri"/>
          <w:bCs/>
          <w:sz w:val="24"/>
          <w:szCs w:val="24"/>
        </w:rPr>
        <w:t>3</w:t>
      </w:r>
      <w:r w:rsidRPr="00BE2DA9">
        <w:rPr>
          <w:rFonts w:cs="Calibri"/>
          <w:bCs/>
          <w:sz w:val="24"/>
          <w:szCs w:val="24"/>
        </w:rPr>
        <w:t>, proiectul</w:t>
      </w:r>
      <w:r>
        <w:rPr>
          <w:rFonts w:cs="Calibri"/>
          <w:bCs/>
          <w:sz w:val="24"/>
          <w:szCs w:val="24"/>
        </w:rPr>
        <w:t>ui</w:t>
      </w:r>
      <w:r w:rsidRPr="00BE2DA9">
        <w:rPr>
          <w:rFonts w:cs="Calibri"/>
          <w:bCs/>
          <w:sz w:val="24"/>
          <w:szCs w:val="24"/>
        </w:rPr>
        <w:t xml:space="preserve"> Legii bugetului de stat pe anul 20</w:t>
      </w:r>
      <w:r>
        <w:rPr>
          <w:rFonts w:cs="Calibri"/>
          <w:bCs/>
          <w:sz w:val="24"/>
          <w:szCs w:val="24"/>
        </w:rPr>
        <w:t>20</w:t>
      </w:r>
      <w:r w:rsidRPr="00BE2DA9">
        <w:rPr>
          <w:rFonts w:cs="Calibri"/>
          <w:bCs/>
          <w:sz w:val="24"/>
          <w:szCs w:val="24"/>
        </w:rPr>
        <w:t>, proiectul</w:t>
      </w:r>
      <w:r>
        <w:rPr>
          <w:rFonts w:cs="Calibri"/>
          <w:bCs/>
          <w:sz w:val="24"/>
          <w:szCs w:val="24"/>
        </w:rPr>
        <w:t>ui</w:t>
      </w:r>
      <w:r w:rsidRPr="00BE2DA9">
        <w:rPr>
          <w:rFonts w:cs="Calibri"/>
          <w:bCs/>
          <w:sz w:val="24"/>
          <w:szCs w:val="24"/>
        </w:rPr>
        <w:t xml:space="preserve"> Legii </w:t>
      </w:r>
      <w:r>
        <w:rPr>
          <w:rFonts w:cs="Calibri"/>
          <w:bCs/>
          <w:sz w:val="24"/>
          <w:szCs w:val="24"/>
        </w:rPr>
        <w:t xml:space="preserve">bugetului </w:t>
      </w:r>
      <w:r w:rsidRPr="00BE2DA9">
        <w:rPr>
          <w:rFonts w:cs="Calibri"/>
          <w:bCs/>
          <w:sz w:val="24"/>
          <w:szCs w:val="24"/>
        </w:rPr>
        <w:t>asigurărilor sociale de stat pe anul 20</w:t>
      </w:r>
      <w:r>
        <w:rPr>
          <w:rFonts w:cs="Calibri"/>
          <w:bCs/>
          <w:sz w:val="24"/>
          <w:szCs w:val="24"/>
        </w:rPr>
        <w:t>20</w:t>
      </w:r>
      <w:r w:rsidRPr="00BE2DA9">
        <w:rPr>
          <w:rFonts w:cs="Calibri"/>
          <w:bCs/>
          <w:sz w:val="24"/>
          <w:szCs w:val="24"/>
        </w:rPr>
        <w:t xml:space="preserve"> și </w:t>
      </w:r>
      <w:r>
        <w:rPr>
          <w:rFonts w:cs="Calibri"/>
          <w:bCs/>
          <w:sz w:val="24"/>
          <w:szCs w:val="24"/>
        </w:rPr>
        <w:t>asupra E</w:t>
      </w:r>
      <w:r w:rsidRPr="00BE2DA9">
        <w:rPr>
          <w:rFonts w:cs="Calibri"/>
          <w:bCs/>
          <w:sz w:val="24"/>
          <w:szCs w:val="24"/>
        </w:rPr>
        <w:t>xpune</w:t>
      </w:r>
      <w:r>
        <w:rPr>
          <w:rFonts w:cs="Calibri"/>
          <w:bCs/>
          <w:sz w:val="24"/>
          <w:szCs w:val="24"/>
        </w:rPr>
        <w:t>rii</w:t>
      </w:r>
      <w:r w:rsidRPr="00BE2DA9">
        <w:rPr>
          <w:rFonts w:cs="Calibri"/>
          <w:bCs/>
          <w:sz w:val="24"/>
          <w:szCs w:val="24"/>
        </w:rPr>
        <w:t xml:space="preserve"> de motive aferente</w:t>
      </w:r>
      <w:r>
        <w:rPr>
          <w:rFonts w:cs="Calibri"/>
          <w:bCs/>
          <w:sz w:val="24"/>
          <w:szCs w:val="24"/>
        </w:rPr>
        <w:t xml:space="preserve"> acestuia,</w:t>
      </w:r>
      <w:r w:rsidRPr="007F209F">
        <w:t xml:space="preserve"> </w:t>
      </w:r>
      <w:r>
        <w:rPr>
          <w:rFonts w:cs="Calibri"/>
          <w:bCs/>
          <w:sz w:val="24"/>
          <w:szCs w:val="24"/>
        </w:rPr>
        <w:t>în care s-a limitat</w:t>
      </w:r>
      <w:r w:rsidRPr="007F209F">
        <w:rPr>
          <w:rFonts w:cs="Calibri"/>
          <w:bCs/>
          <w:sz w:val="24"/>
          <w:szCs w:val="24"/>
        </w:rPr>
        <w:t xml:space="preserve"> la </w:t>
      </w:r>
      <w:r>
        <w:rPr>
          <w:rFonts w:cs="Calibri"/>
          <w:bCs/>
          <w:sz w:val="24"/>
          <w:szCs w:val="24"/>
        </w:rPr>
        <w:t xml:space="preserve">formularea unor </w:t>
      </w:r>
      <w:r w:rsidRPr="007F209F">
        <w:rPr>
          <w:rFonts w:cs="Calibri"/>
          <w:bCs/>
          <w:sz w:val="24"/>
          <w:szCs w:val="24"/>
        </w:rPr>
        <w:t xml:space="preserve">considerații generale și la evaluarea conformării propunerii de buget cu regulile fiscale statuate de </w:t>
      </w:r>
      <w:r>
        <w:rPr>
          <w:rFonts w:cs="Calibri"/>
          <w:bCs/>
          <w:sz w:val="24"/>
          <w:szCs w:val="24"/>
        </w:rPr>
        <w:t>Legea responsabilității fiscal-bugetare (</w:t>
      </w:r>
      <w:r w:rsidRPr="007F209F">
        <w:rPr>
          <w:rFonts w:cs="Calibri"/>
          <w:bCs/>
          <w:sz w:val="24"/>
          <w:szCs w:val="24"/>
        </w:rPr>
        <w:t>LRFB</w:t>
      </w:r>
      <w:r>
        <w:rPr>
          <w:rFonts w:cs="Calibri"/>
          <w:bCs/>
          <w:sz w:val="24"/>
          <w:szCs w:val="24"/>
        </w:rPr>
        <w:t>).</w:t>
      </w:r>
      <w:r w:rsidRPr="00BE2DA9">
        <w:rPr>
          <w:rFonts w:cs="Calibri"/>
          <w:bCs/>
          <w:sz w:val="24"/>
          <w:szCs w:val="24"/>
        </w:rPr>
        <w:t xml:space="preserve"> </w:t>
      </w:r>
      <w:r>
        <w:rPr>
          <w:rFonts w:cs="Calibri"/>
          <w:bCs/>
          <w:sz w:val="24"/>
          <w:szCs w:val="24"/>
        </w:rPr>
        <w:t>Decizia de a emite o opinie preliminară a avut în vedere timpul insuficient aflat</w:t>
      </w:r>
      <w:r w:rsidRPr="007F209F">
        <w:rPr>
          <w:rFonts w:cs="Calibri"/>
          <w:bCs/>
          <w:sz w:val="24"/>
          <w:szCs w:val="24"/>
        </w:rPr>
        <w:t xml:space="preserve"> la dispoziția CF pentru analiza documentelor și elaborarea opiniei solicitate</w:t>
      </w:r>
      <w:r>
        <w:rPr>
          <w:rFonts w:cs="Calibri"/>
          <w:bCs/>
          <w:sz w:val="24"/>
          <w:szCs w:val="24"/>
        </w:rPr>
        <w:t>,</w:t>
      </w:r>
      <w:r w:rsidRPr="003D0D82">
        <w:t xml:space="preserve"> </w:t>
      </w:r>
      <w:r w:rsidRPr="003D0D82">
        <w:rPr>
          <w:rFonts w:cs="Calibri"/>
          <w:bCs/>
          <w:sz w:val="24"/>
          <w:szCs w:val="24"/>
        </w:rPr>
        <w:t>ca urmare a intenției Guvernului de a aproba documentele mai sus menționate în ședința programată pentru data de 18.12.2019</w:t>
      </w:r>
      <w:r>
        <w:rPr>
          <w:rFonts w:cs="Calibri"/>
          <w:bCs/>
          <w:sz w:val="24"/>
          <w:szCs w:val="24"/>
        </w:rPr>
        <w:t>. Prezentul text completează opinia preliminară emisă de CF în data de 18.12.2019.</w:t>
      </w:r>
      <w:r w:rsidR="00873AA7">
        <w:rPr>
          <w:rFonts w:cs="Calibri"/>
          <w:bCs/>
          <w:sz w:val="24"/>
          <w:szCs w:val="24"/>
        </w:rPr>
        <w:t xml:space="preserve"> </w:t>
      </w:r>
      <w:r w:rsidR="00590C1A">
        <w:rPr>
          <w:rFonts w:cs="Calibri"/>
          <w:bCs/>
          <w:sz w:val="24"/>
          <w:szCs w:val="24"/>
        </w:rPr>
        <w:t>C</w:t>
      </w:r>
      <w:r w:rsidR="00873AA7">
        <w:rPr>
          <w:rFonts w:cs="Calibri"/>
          <w:bCs/>
          <w:sz w:val="24"/>
          <w:szCs w:val="24"/>
        </w:rPr>
        <w:t xml:space="preserve">u o săptămână înainte CF a emis o opinie și cu privire la Strategia fiscal-bugetară pentru perioada 2020-2022, analiza nefiind una </w:t>
      </w:r>
      <w:r w:rsidR="00873AA7" w:rsidRPr="001927F2">
        <w:rPr>
          <w:rFonts w:cs="Calibri"/>
          <w:bCs/>
          <w:i/>
          <w:sz w:val="24"/>
          <w:szCs w:val="24"/>
        </w:rPr>
        <w:t>in extenso</w:t>
      </w:r>
      <w:r w:rsidR="00873AA7">
        <w:rPr>
          <w:rFonts w:cs="Calibri"/>
          <w:bCs/>
          <w:sz w:val="24"/>
          <w:szCs w:val="24"/>
        </w:rPr>
        <w:t xml:space="preserve"> din aceleași considerente. Având în vedere acest aspect, opinia de față cuprinde referiri și la perspective</w:t>
      </w:r>
      <w:r w:rsidR="00EC1BAB" w:rsidRPr="0014283D">
        <w:rPr>
          <w:rFonts w:cs="Calibri"/>
          <w:bCs/>
          <w:sz w:val="24"/>
          <w:szCs w:val="24"/>
        </w:rPr>
        <w:t>le</w:t>
      </w:r>
      <w:r w:rsidR="00873AA7" w:rsidRPr="0014283D">
        <w:rPr>
          <w:rFonts w:cs="Calibri"/>
          <w:bCs/>
          <w:sz w:val="24"/>
          <w:szCs w:val="24"/>
        </w:rPr>
        <w:t xml:space="preserve"> </w:t>
      </w:r>
      <w:r w:rsidR="00873AA7">
        <w:rPr>
          <w:rFonts w:cs="Calibri"/>
          <w:bCs/>
          <w:sz w:val="24"/>
          <w:szCs w:val="24"/>
        </w:rPr>
        <w:t xml:space="preserve">fiscal-bugetare pe termen mediu. </w:t>
      </w:r>
    </w:p>
    <w:p w14:paraId="6C5BAE70" w14:textId="6C1EFC91" w:rsidR="00260658" w:rsidRDefault="00260658" w:rsidP="003B38CB">
      <w:pPr>
        <w:widowControl w:val="0"/>
        <w:spacing w:after="200" w:line="276" w:lineRule="auto"/>
        <w:jc w:val="both"/>
        <w:rPr>
          <w:rFonts w:cs="Calibri"/>
          <w:bCs/>
          <w:sz w:val="24"/>
          <w:szCs w:val="24"/>
        </w:rPr>
      </w:pPr>
      <w:r>
        <w:rPr>
          <w:rFonts w:cs="Calibri"/>
          <w:bCs/>
          <w:sz w:val="24"/>
          <w:szCs w:val="24"/>
        </w:rPr>
        <w:t>Între timp proiectele Legii bugetului de stat și Legii bugetului asigurărilor sociale de stat pe anul 2020 și-au continuat parcursul legislativ, fiind adoptate în data de 23.12.2019 prin asumarea răspunderii de către Guvern în fața Parlamentului și apoi promulgate în data de 06.01.2020, astfel că la momentul elaborării prezentei opinii sunt în vigoare sub forma Legii nr. 5/2020, respectiv Legii nr. 6/2020.</w:t>
      </w:r>
      <w:r w:rsidR="001927F2">
        <w:rPr>
          <w:rFonts w:cs="Calibri"/>
          <w:bCs/>
          <w:sz w:val="24"/>
          <w:szCs w:val="24"/>
        </w:rPr>
        <w:t xml:space="preserve"> De asemenea, legea plafoanelor unor indicatori specificați în cadrul fiscal-bugetar este în vigoare sub forma Legii nr. 238/2019.</w:t>
      </w:r>
    </w:p>
    <w:p w14:paraId="459B27FF" w14:textId="77777777" w:rsidR="00873AA7" w:rsidRDefault="00873AA7" w:rsidP="003B38CB">
      <w:pPr>
        <w:widowControl w:val="0"/>
        <w:spacing w:after="200" w:line="276" w:lineRule="auto"/>
        <w:jc w:val="both"/>
        <w:rPr>
          <w:rFonts w:cs="Calibri"/>
          <w:bCs/>
          <w:sz w:val="24"/>
          <w:szCs w:val="24"/>
        </w:rPr>
      </w:pPr>
    </w:p>
    <w:p w14:paraId="4E98BE5E" w14:textId="77777777" w:rsidR="00873AA7" w:rsidRDefault="00873AA7" w:rsidP="003B38CB">
      <w:pPr>
        <w:spacing w:after="200" w:line="276" w:lineRule="auto"/>
        <w:jc w:val="both"/>
        <w:rPr>
          <w:b/>
          <w:i/>
          <w:sz w:val="24"/>
          <w:szCs w:val="24"/>
        </w:rPr>
      </w:pPr>
      <w:r w:rsidRPr="00DE14E3">
        <w:rPr>
          <w:b/>
          <w:i/>
          <w:sz w:val="24"/>
          <w:szCs w:val="24"/>
        </w:rPr>
        <w:t xml:space="preserve">Cadrul fiscal-bugetar </w:t>
      </w:r>
      <w:r>
        <w:rPr>
          <w:b/>
          <w:i/>
          <w:sz w:val="24"/>
          <w:szCs w:val="24"/>
        </w:rPr>
        <w:t>–</w:t>
      </w:r>
      <w:r w:rsidRPr="00DE14E3">
        <w:rPr>
          <w:b/>
          <w:i/>
          <w:sz w:val="24"/>
          <w:szCs w:val="24"/>
        </w:rPr>
        <w:t xml:space="preserve"> context</w:t>
      </w:r>
    </w:p>
    <w:p w14:paraId="7300F342" w14:textId="662EDFDA" w:rsidR="00D965B7" w:rsidRDefault="00873AA7" w:rsidP="003B38CB">
      <w:pPr>
        <w:spacing w:after="200" w:line="276" w:lineRule="auto"/>
        <w:jc w:val="both"/>
        <w:rPr>
          <w:rFonts w:cs="Calibri"/>
          <w:bCs/>
          <w:sz w:val="24"/>
          <w:szCs w:val="24"/>
        </w:rPr>
      </w:pPr>
      <w:r w:rsidRPr="00267CF4">
        <w:rPr>
          <w:sz w:val="24"/>
          <w:szCs w:val="24"/>
          <w:u w:val="single"/>
        </w:rPr>
        <w:t>Cea de a doua rectificare bugetară operată la finalul lunii noiembrie a anului 2019 a consemnat o revizuire majoră a deficitului bugetar de la 2,76% la 4,43%</w:t>
      </w:r>
      <w:r w:rsidR="003627A7" w:rsidRPr="00267CF4">
        <w:rPr>
          <w:rStyle w:val="FootnoteReference"/>
          <w:sz w:val="24"/>
          <w:szCs w:val="24"/>
          <w:u w:val="single"/>
        </w:rPr>
        <w:footnoteReference w:id="1"/>
      </w:r>
      <w:r w:rsidRPr="00267CF4">
        <w:rPr>
          <w:sz w:val="24"/>
          <w:szCs w:val="24"/>
          <w:u w:val="single"/>
        </w:rPr>
        <w:t xml:space="preserve"> din PIB potrivit metodologiei </w:t>
      </w:r>
      <w:r w:rsidR="00A12B71" w:rsidRPr="00267CF4">
        <w:rPr>
          <w:i/>
          <w:sz w:val="24"/>
          <w:szCs w:val="24"/>
          <w:u w:val="single"/>
        </w:rPr>
        <w:t>cash</w:t>
      </w:r>
      <w:r>
        <w:rPr>
          <w:sz w:val="24"/>
          <w:szCs w:val="24"/>
        </w:rPr>
        <w:t>, corespunzăto</w:t>
      </w:r>
      <w:r w:rsidR="0015157A">
        <w:rPr>
          <w:sz w:val="24"/>
          <w:szCs w:val="24"/>
        </w:rPr>
        <w:t>are</w:t>
      </w:r>
      <w:r>
        <w:rPr>
          <w:sz w:val="24"/>
          <w:szCs w:val="24"/>
        </w:rPr>
        <w:t xml:space="preserve"> </w:t>
      </w:r>
      <w:r w:rsidRPr="00D06718">
        <w:rPr>
          <w:rFonts w:cs="Calibri"/>
          <w:bCs/>
          <w:sz w:val="24"/>
          <w:szCs w:val="24"/>
        </w:rPr>
        <w:t xml:space="preserve">unei majorări a deficitului bugetar potrivit metodologiei europene de la 2,57% la 3,82% din PIB. </w:t>
      </w:r>
      <w:r w:rsidR="003627A7">
        <w:rPr>
          <w:rFonts w:cs="Calibri"/>
          <w:bCs/>
          <w:sz w:val="24"/>
          <w:szCs w:val="24"/>
        </w:rPr>
        <w:t>Majorarea semnificativă a estimării deficit</w:t>
      </w:r>
      <w:r w:rsidR="00552039">
        <w:rPr>
          <w:rFonts w:cs="Calibri"/>
          <w:bCs/>
          <w:sz w:val="24"/>
          <w:szCs w:val="24"/>
        </w:rPr>
        <w:t>ului</w:t>
      </w:r>
      <w:r w:rsidR="003627A7">
        <w:rPr>
          <w:rFonts w:cs="Calibri"/>
          <w:bCs/>
          <w:sz w:val="24"/>
          <w:szCs w:val="24"/>
        </w:rPr>
        <w:t xml:space="preserve"> bugetar a avut drept </w:t>
      </w:r>
      <w:r w:rsidR="00552039">
        <w:rPr>
          <w:rFonts w:cs="Calibri"/>
          <w:bCs/>
          <w:sz w:val="24"/>
          <w:szCs w:val="24"/>
        </w:rPr>
        <w:t xml:space="preserve">cauze </w:t>
      </w:r>
      <w:r w:rsidR="00D06718" w:rsidRPr="00D06718">
        <w:rPr>
          <w:rFonts w:cs="Calibri"/>
          <w:bCs/>
          <w:sz w:val="24"/>
          <w:szCs w:val="24"/>
        </w:rPr>
        <w:t>revizuire</w:t>
      </w:r>
      <w:r w:rsidR="003627A7">
        <w:rPr>
          <w:rFonts w:cs="Calibri"/>
          <w:bCs/>
          <w:sz w:val="24"/>
          <w:szCs w:val="24"/>
        </w:rPr>
        <w:t>a</w:t>
      </w:r>
      <w:r w:rsidR="00D06718" w:rsidRPr="00D06718">
        <w:rPr>
          <w:rFonts w:cs="Calibri"/>
          <w:bCs/>
          <w:sz w:val="24"/>
          <w:szCs w:val="24"/>
        </w:rPr>
        <w:t xml:space="preserve"> descendentă, de o amploare fără precedent de la adoptarea LRFB, a veniturilor totale ale BGC (-18,3 mld. lei), în timp ce</w:t>
      </w:r>
      <w:r w:rsidR="003627A7">
        <w:rPr>
          <w:rFonts w:cs="Calibri"/>
          <w:bCs/>
          <w:sz w:val="24"/>
          <w:szCs w:val="24"/>
        </w:rPr>
        <w:t xml:space="preserve"> cheltuielile bugetare totale s-au diminuat</w:t>
      </w:r>
      <w:r w:rsidR="00D06718" w:rsidRPr="00D06718">
        <w:rPr>
          <w:rFonts w:cs="Calibri"/>
          <w:bCs/>
          <w:sz w:val="24"/>
          <w:szCs w:val="24"/>
        </w:rPr>
        <w:t xml:space="preserve">  într-o măsură m</w:t>
      </w:r>
      <w:r w:rsidR="003627A7">
        <w:rPr>
          <w:rFonts w:cs="Calibri"/>
          <w:bCs/>
          <w:sz w:val="24"/>
          <w:szCs w:val="24"/>
        </w:rPr>
        <w:t xml:space="preserve">ult mai redusă (-2,1 mld. lei). </w:t>
      </w:r>
    </w:p>
    <w:p w14:paraId="32B0D9AA" w14:textId="37581345" w:rsidR="00873AA7" w:rsidRPr="0014283D" w:rsidRDefault="003627A7" w:rsidP="003B38CB">
      <w:pPr>
        <w:spacing w:after="200" w:line="276" w:lineRule="auto"/>
        <w:jc w:val="both"/>
        <w:rPr>
          <w:rFonts w:cs="Calibri"/>
          <w:bCs/>
          <w:sz w:val="24"/>
          <w:szCs w:val="24"/>
          <w:u w:val="single"/>
        </w:rPr>
      </w:pPr>
      <w:r>
        <w:rPr>
          <w:rFonts w:cs="Calibri"/>
          <w:bCs/>
          <w:sz w:val="24"/>
          <w:szCs w:val="24"/>
        </w:rPr>
        <w:lastRenderedPageBreak/>
        <w:t>Derapajul fiscal major s-a produs ca urmare a supraestimării semnificative a veniturilor încă d</w:t>
      </w:r>
      <w:r w:rsidR="007A0B9C">
        <w:rPr>
          <w:rFonts w:cs="Calibri"/>
          <w:bCs/>
          <w:sz w:val="24"/>
          <w:szCs w:val="24"/>
        </w:rPr>
        <w:t>in construc</w:t>
      </w:r>
      <w:r w:rsidR="001927F2">
        <w:rPr>
          <w:rFonts w:cs="Calibri"/>
          <w:bCs/>
          <w:sz w:val="24"/>
          <w:szCs w:val="24"/>
        </w:rPr>
        <w:t>ț</w:t>
      </w:r>
      <w:r w:rsidR="007A0B9C">
        <w:rPr>
          <w:rFonts w:cs="Calibri"/>
          <w:bCs/>
          <w:sz w:val="24"/>
          <w:szCs w:val="24"/>
        </w:rPr>
        <w:t xml:space="preserve">ia bugetară inițială </w:t>
      </w:r>
      <w:r w:rsidR="0015157A" w:rsidRPr="002924A1">
        <w:rPr>
          <w:rFonts w:cs="Calibri"/>
          <w:bCs/>
          <w:sz w:val="24"/>
          <w:szCs w:val="24"/>
        </w:rPr>
        <w:t>care a fost</w:t>
      </w:r>
      <w:r w:rsidR="007A0B9C">
        <w:rPr>
          <w:rFonts w:cs="Calibri"/>
          <w:bCs/>
          <w:sz w:val="24"/>
          <w:szCs w:val="24"/>
        </w:rPr>
        <w:t xml:space="preserve"> menținută și cu ocazia primei rectificări a BGC, alți factori fiind reprezentați de </w:t>
      </w:r>
      <w:r>
        <w:rPr>
          <w:rFonts w:cs="Calibri"/>
          <w:bCs/>
          <w:sz w:val="24"/>
          <w:szCs w:val="24"/>
        </w:rPr>
        <w:t xml:space="preserve"> încetinirea economiei, nerealizarea unor venituri temporare</w:t>
      </w:r>
      <w:r w:rsidR="0015157A">
        <w:rPr>
          <w:rFonts w:cs="Calibri"/>
          <w:bCs/>
          <w:sz w:val="24"/>
          <w:szCs w:val="24"/>
        </w:rPr>
        <w:t>,</w:t>
      </w:r>
      <w:r>
        <w:rPr>
          <w:rFonts w:cs="Calibri"/>
          <w:bCs/>
          <w:sz w:val="24"/>
          <w:szCs w:val="24"/>
        </w:rPr>
        <w:t xml:space="preserve"> </w:t>
      </w:r>
      <w:r w:rsidR="001927F2" w:rsidRPr="002924A1">
        <w:rPr>
          <w:rFonts w:cs="Calibri"/>
          <w:bCs/>
          <w:sz w:val="24"/>
          <w:szCs w:val="24"/>
        </w:rPr>
        <w:t xml:space="preserve">precum și </w:t>
      </w:r>
      <w:r w:rsidR="0015157A" w:rsidRPr="002924A1">
        <w:rPr>
          <w:rFonts w:cs="Calibri"/>
          <w:bCs/>
          <w:sz w:val="24"/>
          <w:szCs w:val="24"/>
        </w:rPr>
        <w:t>de</w:t>
      </w:r>
      <w:r w:rsidR="007A0B9C" w:rsidRPr="002924A1">
        <w:rPr>
          <w:rFonts w:cs="Calibri"/>
          <w:bCs/>
          <w:sz w:val="24"/>
          <w:szCs w:val="24"/>
        </w:rPr>
        <w:t xml:space="preserve"> supliment</w:t>
      </w:r>
      <w:r w:rsidR="0015157A" w:rsidRPr="002924A1">
        <w:rPr>
          <w:rFonts w:cs="Calibri"/>
          <w:bCs/>
          <w:sz w:val="24"/>
          <w:szCs w:val="24"/>
        </w:rPr>
        <w:t>area</w:t>
      </w:r>
      <w:r w:rsidR="007A0B9C" w:rsidRPr="002924A1">
        <w:rPr>
          <w:rFonts w:cs="Calibri"/>
          <w:bCs/>
          <w:sz w:val="24"/>
          <w:szCs w:val="24"/>
        </w:rPr>
        <w:t xml:space="preserve"> masiv</w:t>
      </w:r>
      <w:r w:rsidR="0015157A" w:rsidRPr="002924A1">
        <w:rPr>
          <w:rFonts w:cs="Calibri"/>
          <w:bCs/>
          <w:sz w:val="24"/>
          <w:szCs w:val="24"/>
        </w:rPr>
        <w:t>ă</w:t>
      </w:r>
      <w:r w:rsidR="007A0B9C" w:rsidRPr="002924A1">
        <w:rPr>
          <w:rFonts w:cs="Calibri"/>
          <w:bCs/>
          <w:sz w:val="24"/>
          <w:szCs w:val="24"/>
        </w:rPr>
        <w:t xml:space="preserve"> a cheltuielilor cu asistența socială și de capital.</w:t>
      </w:r>
      <w:r w:rsidR="007A0B9C">
        <w:rPr>
          <w:rFonts w:cs="Calibri"/>
          <w:bCs/>
          <w:sz w:val="24"/>
          <w:szCs w:val="24"/>
        </w:rPr>
        <w:t xml:space="preserve"> </w:t>
      </w:r>
      <w:r w:rsidR="001927F2" w:rsidRPr="0014283D">
        <w:rPr>
          <w:rFonts w:cs="Calibri"/>
          <w:bCs/>
          <w:sz w:val="24"/>
          <w:szCs w:val="24"/>
          <w:u w:val="single"/>
        </w:rPr>
        <w:t xml:space="preserve">Astfel, </w:t>
      </w:r>
      <w:r w:rsidRPr="0014283D">
        <w:rPr>
          <w:rFonts w:cs="Calibri"/>
          <w:bCs/>
          <w:sz w:val="24"/>
          <w:szCs w:val="24"/>
          <w:u w:val="single"/>
        </w:rPr>
        <w:t xml:space="preserve">se estimează că anul 2019 a marcat depășirea considerabilă a pragului de 3% pentru deficitul bugetar, dincolo de care </w:t>
      </w:r>
      <w:r w:rsidR="00202BF5" w:rsidRPr="0014283D">
        <w:rPr>
          <w:rFonts w:cs="Calibri"/>
          <w:bCs/>
          <w:sz w:val="24"/>
          <w:szCs w:val="24"/>
          <w:u w:val="single"/>
        </w:rPr>
        <w:t>Comisia Europeană (</w:t>
      </w:r>
      <w:r w:rsidRPr="0014283D">
        <w:rPr>
          <w:rFonts w:cs="Calibri"/>
          <w:bCs/>
          <w:sz w:val="24"/>
          <w:szCs w:val="24"/>
          <w:u w:val="single"/>
        </w:rPr>
        <w:t>CE</w:t>
      </w:r>
      <w:r w:rsidR="00202BF5" w:rsidRPr="0014283D">
        <w:rPr>
          <w:rFonts w:cs="Calibri"/>
          <w:bCs/>
          <w:sz w:val="24"/>
          <w:szCs w:val="24"/>
          <w:u w:val="single"/>
        </w:rPr>
        <w:t>)</w:t>
      </w:r>
      <w:r w:rsidRPr="0014283D">
        <w:rPr>
          <w:rFonts w:cs="Calibri"/>
          <w:bCs/>
          <w:sz w:val="24"/>
          <w:szCs w:val="24"/>
          <w:u w:val="single"/>
        </w:rPr>
        <w:t xml:space="preserve"> poate declanșa procedura de deficit excesiv</w:t>
      </w:r>
      <w:r w:rsidR="00D31E0F" w:rsidRPr="0014283D">
        <w:rPr>
          <w:rFonts w:cs="Calibri"/>
          <w:bCs/>
          <w:sz w:val="24"/>
          <w:szCs w:val="24"/>
          <w:u w:val="single"/>
        </w:rPr>
        <w:t xml:space="preserve"> (PDE).</w:t>
      </w:r>
    </w:p>
    <w:p w14:paraId="67A7A0F7" w14:textId="20FD17C6" w:rsidR="00D06B40" w:rsidRDefault="00C72ECA" w:rsidP="003B38CB">
      <w:pPr>
        <w:widowControl w:val="0"/>
        <w:spacing w:after="200" w:line="276" w:lineRule="auto"/>
        <w:jc w:val="both"/>
        <w:rPr>
          <w:rFonts w:cs="Calibri"/>
          <w:bCs/>
          <w:sz w:val="24"/>
          <w:szCs w:val="24"/>
        </w:rPr>
      </w:pPr>
      <w:r>
        <w:rPr>
          <w:rFonts w:cs="Calibri"/>
          <w:bCs/>
          <w:sz w:val="24"/>
          <w:szCs w:val="24"/>
        </w:rPr>
        <w:t xml:space="preserve">CF </w:t>
      </w:r>
      <w:r w:rsidR="00D965B7">
        <w:rPr>
          <w:rFonts w:cs="Calibri"/>
          <w:bCs/>
          <w:sz w:val="24"/>
          <w:szCs w:val="24"/>
        </w:rPr>
        <w:t>remarc</w:t>
      </w:r>
      <w:r>
        <w:rPr>
          <w:rFonts w:cs="Calibri"/>
          <w:bCs/>
          <w:sz w:val="24"/>
          <w:szCs w:val="24"/>
        </w:rPr>
        <w:t>ă progresul</w:t>
      </w:r>
      <w:r w:rsidR="007A0B9C">
        <w:rPr>
          <w:rFonts w:cs="Calibri"/>
          <w:bCs/>
          <w:sz w:val="24"/>
          <w:szCs w:val="24"/>
        </w:rPr>
        <w:t xml:space="preserve"> </w:t>
      </w:r>
      <w:r>
        <w:rPr>
          <w:rFonts w:cs="Calibri"/>
          <w:bCs/>
          <w:sz w:val="24"/>
          <w:szCs w:val="24"/>
        </w:rPr>
        <w:t xml:space="preserve">în direcția </w:t>
      </w:r>
      <w:r w:rsidR="0074184A">
        <w:rPr>
          <w:rFonts w:cs="Calibri"/>
          <w:bCs/>
          <w:sz w:val="24"/>
          <w:szCs w:val="24"/>
        </w:rPr>
        <w:t>transparentiză</w:t>
      </w:r>
      <w:r w:rsidR="00AE4488">
        <w:rPr>
          <w:rFonts w:cs="Calibri"/>
          <w:bCs/>
          <w:sz w:val="24"/>
          <w:szCs w:val="24"/>
        </w:rPr>
        <w:t>r</w:t>
      </w:r>
      <w:r w:rsidR="0074184A">
        <w:rPr>
          <w:rFonts w:cs="Calibri"/>
          <w:bCs/>
          <w:sz w:val="24"/>
          <w:szCs w:val="24"/>
        </w:rPr>
        <w:t xml:space="preserve">ii </w:t>
      </w:r>
      <w:r>
        <w:rPr>
          <w:rFonts w:cs="Calibri"/>
          <w:bCs/>
          <w:sz w:val="24"/>
          <w:szCs w:val="24"/>
        </w:rPr>
        <w:t>construcției bugetare</w:t>
      </w:r>
      <w:r w:rsidR="0074184A">
        <w:rPr>
          <w:rFonts w:cs="Calibri"/>
          <w:bCs/>
          <w:sz w:val="24"/>
          <w:szCs w:val="24"/>
        </w:rPr>
        <w:t xml:space="preserve"> </w:t>
      </w:r>
      <w:r>
        <w:rPr>
          <w:rFonts w:cs="Calibri"/>
          <w:bCs/>
          <w:sz w:val="24"/>
          <w:szCs w:val="24"/>
        </w:rPr>
        <w:t>operată cu prilejul celei de-a doua rectificări bugetare aferent</w:t>
      </w:r>
      <w:r w:rsidR="00AE4488">
        <w:rPr>
          <w:rFonts w:cs="Calibri"/>
          <w:bCs/>
          <w:sz w:val="24"/>
          <w:szCs w:val="24"/>
        </w:rPr>
        <w:t>e</w:t>
      </w:r>
      <w:r>
        <w:rPr>
          <w:rFonts w:cs="Calibri"/>
          <w:bCs/>
          <w:sz w:val="24"/>
          <w:szCs w:val="24"/>
        </w:rPr>
        <w:t xml:space="preserve"> anului 2019 – în sensul actualizării proiecției de v</w:t>
      </w:r>
      <w:r w:rsidR="001927F2">
        <w:rPr>
          <w:rFonts w:cs="Calibri"/>
          <w:bCs/>
          <w:sz w:val="24"/>
          <w:szCs w:val="24"/>
        </w:rPr>
        <w:t>enituri și a recunoașterii în che</w:t>
      </w:r>
      <w:r>
        <w:rPr>
          <w:rFonts w:cs="Calibri"/>
          <w:bCs/>
          <w:sz w:val="24"/>
          <w:szCs w:val="24"/>
        </w:rPr>
        <w:t xml:space="preserve">ltuielile bugetare a unor obligații restante. Identificarea cât mai precisă a coordonatelor veniturilor și cheltuielilor bugetare din anul anterior este relevantă întrucât reprezintă punctul de plecare în construcția bugetară pentru anul 2020. </w:t>
      </w:r>
      <w:r w:rsidR="00202BF5">
        <w:rPr>
          <w:rFonts w:cs="Calibri"/>
          <w:bCs/>
          <w:sz w:val="24"/>
          <w:szCs w:val="24"/>
        </w:rPr>
        <w:t>Î</w:t>
      </w:r>
      <w:r w:rsidR="00D965B7">
        <w:rPr>
          <w:rFonts w:cs="Calibri"/>
          <w:bCs/>
          <w:sz w:val="24"/>
          <w:szCs w:val="24"/>
        </w:rPr>
        <w:t>n</w:t>
      </w:r>
      <w:r>
        <w:rPr>
          <w:rFonts w:cs="Calibri"/>
          <w:bCs/>
          <w:sz w:val="24"/>
          <w:szCs w:val="24"/>
        </w:rPr>
        <w:t xml:space="preserve"> opini</w:t>
      </w:r>
      <w:r w:rsidR="00D965B7">
        <w:rPr>
          <w:rFonts w:cs="Calibri"/>
          <w:bCs/>
          <w:sz w:val="24"/>
          <w:szCs w:val="24"/>
        </w:rPr>
        <w:t>a</w:t>
      </w:r>
      <w:r>
        <w:rPr>
          <w:rFonts w:cs="Calibri"/>
          <w:bCs/>
          <w:sz w:val="24"/>
          <w:szCs w:val="24"/>
        </w:rPr>
        <w:t xml:space="preserve"> s</w:t>
      </w:r>
      <w:r w:rsidR="00271F44">
        <w:rPr>
          <w:rFonts w:cs="Calibri"/>
          <w:bCs/>
          <w:sz w:val="24"/>
          <w:szCs w:val="24"/>
        </w:rPr>
        <w:t>a asupra celei de-a do</w:t>
      </w:r>
      <w:r>
        <w:rPr>
          <w:rFonts w:cs="Calibri"/>
          <w:bCs/>
          <w:sz w:val="24"/>
          <w:szCs w:val="24"/>
        </w:rPr>
        <w:t xml:space="preserve">ua rectificări </w:t>
      </w:r>
      <w:r w:rsidRPr="001927F2">
        <w:rPr>
          <w:rFonts w:cs="Calibri"/>
          <w:bCs/>
          <w:sz w:val="24"/>
          <w:szCs w:val="24"/>
        </w:rPr>
        <w:t>bugetare</w:t>
      </w:r>
      <w:r w:rsidR="001927F2" w:rsidRPr="001927F2">
        <w:rPr>
          <w:rFonts w:cs="Calibri"/>
          <w:bCs/>
          <w:sz w:val="24"/>
          <w:szCs w:val="24"/>
        </w:rPr>
        <w:t>,</w:t>
      </w:r>
      <w:r>
        <w:rPr>
          <w:rFonts w:cs="Calibri"/>
          <w:bCs/>
          <w:sz w:val="24"/>
          <w:szCs w:val="24"/>
        </w:rPr>
        <w:t xml:space="preserve"> </w:t>
      </w:r>
      <w:r w:rsidRPr="00F73D24">
        <w:rPr>
          <w:rFonts w:cs="Calibri"/>
          <w:b/>
          <w:bCs/>
          <w:sz w:val="24"/>
          <w:szCs w:val="24"/>
        </w:rPr>
        <w:t>CF a arătat necesitatea unor măsuri credibile de consolidare bugetară</w:t>
      </w:r>
      <w:r>
        <w:rPr>
          <w:rFonts w:cs="Calibri"/>
          <w:bCs/>
          <w:sz w:val="24"/>
          <w:szCs w:val="24"/>
        </w:rPr>
        <w:t xml:space="preserve">, considerând </w:t>
      </w:r>
      <w:r w:rsidRPr="00C72ECA">
        <w:rPr>
          <w:rFonts w:cs="Calibri"/>
          <w:bCs/>
          <w:sz w:val="24"/>
          <w:szCs w:val="24"/>
        </w:rPr>
        <w:t xml:space="preserve">nivelul </w:t>
      </w:r>
      <w:r w:rsidR="00271F44">
        <w:rPr>
          <w:rFonts w:cs="Calibri"/>
          <w:bCs/>
          <w:sz w:val="24"/>
          <w:szCs w:val="24"/>
        </w:rPr>
        <w:t>estimat la acel moment</w:t>
      </w:r>
      <w:r w:rsidRPr="00C72ECA">
        <w:rPr>
          <w:rFonts w:cs="Calibri"/>
          <w:bCs/>
          <w:sz w:val="24"/>
          <w:szCs w:val="24"/>
        </w:rPr>
        <w:t xml:space="preserve"> al deficitului</w:t>
      </w:r>
      <w:r w:rsidR="00271F44">
        <w:rPr>
          <w:rFonts w:cs="Calibri"/>
          <w:bCs/>
          <w:sz w:val="24"/>
          <w:szCs w:val="24"/>
        </w:rPr>
        <w:t xml:space="preserve"> bugetar</w:t>
      </w:r>
      <w:r w:rsidR="00202BF5">
        <w:rPr>
          <w:rFonts w:cs="Calibri"/>
          <w:bCs/>
          <w:sz w:val="24"/>
          <w:szCs w:val="24"/>
        </w:rPr>
        <w:t xml:space="preserve"> </w:t>
      </w:r>
      <w:r w:rsidRPr="00C72ECA">
        <w:rPr>
          <w:rFonts w:cs="Calibri"/>
          <w:bCs/>
          <w:sz w:val="24"/>
          <w:szCs w:val="24"/>
        </w:rPr>
        <w:t xml:space="preserve">și perspectiva </w:t>
      </w:r>
      <w:r w:rsidR="00271F44">
        <w:rPr>
          <w:rFonts w:cs="Calibri"/>
          <w:bCs/>
          <w:sz w:val="24"/>
          <w:szCs w:val="24"/>
        </w:rPr>
        <w:t xml:space="preserve">acestuia </w:t>
      </w:r>
      <w:r w:rsidRPr="00C72ECA">
        <w:rPr>
          <w:rFonts w:cs="Calibri"/>
          <w:bCs/>
          <w:sz w:val="24"/>
          <w:szCs w:val="24"/>
        </w:rPr>
        <w:t>pe termen mediu</w:t>
      </w:r>
      <w:r w:rsidR="00271F44">
        <w:rPr>
          <w:rFonts w:cs="Calibri"/>
          <w:bCs/>
          <w:sz w:val="24"/>
          <w:szCs w:val="24"/>
        </w:rPr>
        <w:t>.</w:t>
      </w:r>
    </w:p>
    <w:p w14:paraId="49FE2438" w14:textId="26E50738" w:rsidR="00D965B7" w:rsidRDefault="00D965B7" w:rsidP="003B38CB">
      <w:pPr>
        <w:widowControl w:val="0"/>
        <w:spacing w:after="200" w:line="276" w:lineRule="auto"/>
        <w:jc w:val="both"/>
        <w:rPr>
          <w:rFonts w:cs="Calibri"/>
          <w:bCs/>
          <w:sz w:val="24"/>
          <w:szCs w:val="24"/>
        </w:rPr>
      </w:pPr>
      <w:r>
        <w:rPr>
          <w:rFonts w:cs="Calibri"/>
          <w:bCs/>
          <w:sz w:val="24"/>
          <w:szCs w:val="24"/>
        </w:rPr>
        <w:t>CF salut</w:t>
      </w:r>
      <w:r w:rsidR="00AE4488">
        <w:rPr>
          <w:rFonts w:cs="Calibri"/>
          <w:bCs/>
          <w:sz w:val="24"/>
          <w:szCs w:val="24"/>
        </w:rPr>
        <w:t>ă</w:t>
      </w:r>
      <w:r>
        <w:rPr>
          <w:rFonts w:cs="Calibri"/>
          <w:bCs/>
          <w:sz w:val="24"/>
          <w:szCs w:val="24"/>
        </w:rPr>
        <w:t xml:space="preserve"> inten</w:t>
      </w:r>
      <w:r w:rsidR="00AE4488">
        <w:rPr>
          <w:rFonts w:cs="Calibri"/>
          <w:bCs/>
          <w:sz w:val="24"/>
          <w:szCs w:val="24"/>
        </w:rPr>
        <w:t>ț</w:t>
      </w:r>
      <w:r>
        <w:rPr>
          <w:rFonts w:cs="Calibri"/>
          <w:bCs/>
          <w:sz w:val="24"/>
          <w:szCs w:val="24"/>
        </w:rPr>
        <w:t>ia Guvernului de a reforma ANAF, inclusiv prin informatizarea activit</w:t>
      </w:r>
      <w:r w:rsidR="00AE4488">
        <w:rPr>
          <w:rFonts w:cs="Calibri"/>
          <w:bCs/>
          <w:sz w:val="24"/>
          <w:szCs w:val="24"/>
        </w:rPr>
        <w:t>ăț</w:t>
      </w:r>
      <w:r>
        <w:rPr>
          <w:rFonts w:cs="Calibri"/>
          <w:bCs/>
          <w:sz w:val="24"/>
          <w:szCs w:val="24"/>
        </w:rPr>
        <w:t>ii de colectare a veniturilor. Aceast</w:t>
      </w:r>
      <w:r w:rsidR="00AE4488">
        <w:rPr>
          <w:rFonts w:cs="Calibri"/>
          <w:bCs/>
          <w:sz w:val="24"/>
          <w:szCs w:val="24"/>
        </w:rPr>
        <w:t>ă</w:t>
      </w:r>
      <w:r>
        <w:rPr>
          <w:rFonts w:cs="Calibri"/>
          <w:bCs/>
          <w:sz w:val="24"/>
          <w:szCs w:val="24"/>
        </w:rPr>
        <w:t xml:space="preserve"> reform</w:t>
      </w:r>
      <w:r w:rsidR="002A55B5">
        <w:rPr>
          <w:rFonts w:cs="Calibri"/>
          <w:bCs/>
          <w:sz w:val="24"/>
          <w:szCs w:val="24"/>
        </w:rPr>
        <w:t>ă</w:t>
      </w:r>
      <w:r>
        <w:rPr>
          <w:rFonts w:cs="Calibri"/>
          <w:bCs/>
          <w:sz w:val="24"/>
          <w:szCs w:val="24"/>
        </w:rPr>
        <w:t xml:space="preserve"> poate contribui </w:t>
      </w:r>
      <w:r w:rsidR="002A55B5">
        <w:rPr>
          <w:rFonts w:cs="Calibri"/>
          <w:bCs/>
          <w:sz w:val="24"/>
          <w:szCs w:val="24"/>
        </w:rPr>
        <w:t>î</w:t>
      </w:r>
      <w:r>
        <w:rPr>
          <w:rFonts w:cs="Calibri"/>
          <w:bCs/>
          <w:sz w:val="24"/>
          <w:szCs w:val="24"/>
        </w:rPr>
        <w:t>n mod semnificativ la consolidarea bugetar</w:t>
      </w:r>
      <w:r w:rsidR="002A55B5">
        <w:rPr>
          <w:rFonts w:cs="Calibri"/>
          <w:bCs/>
          <w:sz w:val="24"/>
          <w:szCs w:val="24"/>
        </w:rPr>
        <w:t>ă</w:t>
      </w:r>
      <w:r>
        <w:rPr>
          <w:rFonts w:cs="Calibri"/>
          <w:bCs/>
          <w:sz w:val="24"/>
          <w:szCs w:val="24"/>
        </w:rPr>
        <w:t xml:space="preserve"> (reducerea deficitelor), dar ar fi imprudent ca buget</w:t>
      </w:r>
      <w:r w:rsidR="006E744E">
        <w:rPr>
          <w:rFonts w:cs="Calibri"/>
          <w:bCs/>
          <w:sz w:val="24"/>
          <w:szCs w:val="24"/>
        </w:rPr>
        <w:t>ul publi</w:t>
      </w:r>
      <w:r w:rsidR="002A55B5">
        <w:rPr>
          <w:rFonts w:cs="Calibri"/>
          <w:bCs/>
          <w:sz w:val="24"/>
          <w:szCs w:val="24"/>
        </w:rPr>
        <w:t>c</w:t>
      </w:r>
      <w:r w:rsidR="006E744E">
        <w:rPr>
          <w:rFonts w:cs="Calibri"/>
          <w:bCs/>
          <w:sz w:val="24"/>
          <w:szCs w:val="24"/>
        </w:rPr>
        <w:t xml:space="preserve"> s</w:t>
      </w:r>
      <w:r w:rsidR="002A55B5">
        <w:rPr>
          <w:rFonts w:cs="Calibri"/>
          <w:bCs/>
          <w:sz w:val="24"/>
          <w:szCs w:val="24"/>
        </w:rPr>
        <w:t>ă</w:t>
      </w:r>
      <w:r w:rsidR="006E744E">
        <w:rPr>
          <w:rFonts w:cs="Calibri"/>
          <w:bCs/>
          <w:sz w:val="24"/>
          <w:szCs w:val="24"/>
        </w:rPr>
        <w:t xml:space="preserve"> mizeze pe venituri incerte</w:t>
      </w:r>
      <w:r>
        <w:rPr>
          <w:rFonts w:cs="Calibri"/>
          <w:bCs/>
          <w:sz w:val="24"/>
          <w:szCs w:val="24"/>
        </w:rPr>
        <w:t>.</w:t>
      </w:r>
    </w:p>
    <w:p w14:paraId="49B35601" w14:textId="4842924E" w:rsidR="00F73D24" w:rsidRDefault="00271F44" w:rsidP="003B38CB">
      <w:pPr>
        <w:widowControl w:val="0"/>
        <w:spacing w:after="200" w:line="276" w:lineRule="auto"/>
        <w:jc w:val="both"/>
        <w:rPr>
          <w:rFonts w:cs="Calibri"/>
          <w:bCs/>
          <w:sz w:val="24"/>
          <w:szCs w:val="24"/>
        </w:rPr>
      </w:pPr>
      <w:r>
        <w:rPr>
          <w:rFonts w:cs="Calibri"/>
          <w:bCs/>
          <w:sz w:val="24"/>
          <w:szCs w:val="24"/>
        </w:rPr>
        <w:t>Ultimele informații disponibile cu privire la execuția bugetară aferentă anului 2019 sugerează</w:t>
      </w:r>
      <w:r w:rsidR="001927F2">
        <w:rPr>
          <w:rFonts w:cs="Calibri"/>
          <w:bCs/>
          <w:sz w:val="24"/>
          <w:szCs w:val="24"/>
        </w:rPr>
        <w:t>,</w:t>
      </w:r>
      <w:r>
        <w:rPr>
          <w:rFonts w:cs="Calibri"/>
          <w:bCs/>
          <w:sz w:val="24"/>
          <w:szCs w:val="24"/>
        </w:rPr>
        <w:t xml:space="preserve"> în opinia CF</w:t>
      </w:r>
      <w:r w:rsidR="001927F2">
        <w:rPr>
          <w:rFonts w:cs="Calibri"/>
          <w:bCs/>
          <w:sz w:val="24"/>
          <w:szCs w:val="24"/>
        </w:rPr>
        <w:t>,</w:t>
      </w:r>
      <w:r>
        <w:rPr>
          <w:rFonts w:cs="Calibri"/>
          <w:bCs/>
          <w:sz w:val="24"/>
          <w:szCs w:val="24"/>
        </w:rPr>
        <w:t xml:space="preserve"> o evoluție și mai nefavorabilă în raport cu estimările MFP cuprinse în cea de-a doua rectificare bugetară, respectiv venituri mai reduse și cheltuieli mai ridicate. Astfel, CF estimează un minus de venituri bugetare, fără a le lua în calcul pe cele din fonduri UE, de cel puțin 0,25 pp din PIB, în tim</w:t>
      </w:r>
      <w:r w:rsidR="001927F2">
        <w:rPr>
          <w:rFonts w:cs="Calibri"/>
          <w:bCs/>
          <w:sz w:val="24"/>
          <w:szCs w:val="24"/>
        </w:rPr>
        <w:t>p ce riscul depășirii anvelopei</w:t>
      </w:r>
      <w:r>
        <w:rPr>
          <w:rFonts w:cs="Calibri"/>
          <w:bCs/>
          <w:sz w:val="24"/>
          <w:szCs w:val="24"/>
        </w:rPr>
        <w:t xml:space="preserve"> la categoria cheltuieli cu bunuri și servicii</w:t>
      </w:r>
      <w:r w:rsidR="001927F2">
        <w:rPr>
          <w:rFonts w:cs="Calibri"/>
          <w:bCs/>
          <w:sz w:val="24"/>
          <w:szCs w:val="24"/>
        </w:rPr>
        <w:t xml:space="preserve"> – semnalat anterior de CF</w:t>
      </w:r>
      <w:r>
        <w:rPr>
          <w:rFonts w:cs="Calibri"/>
          <w:bCs/>
          <w:sz w:val="24"/>
          <w:szCs w:val="24"/>
        </w:rPr>
        <w:t xml:space="preserve"> </w:t>
      </w:r>
      <w:r w:rsidR="001927F2">
        <w:rPr>
          <w:rFonts w:cs="Calibri"/>
          <w:bCs/>
          <w:sz w:val="24"/>
          <w:szCs w:val="24"/>
        </w:rPr>
        <w:t xml:space="preserve">– </w:t>
      </w:r>
      <w:r>
        <w:rPr>
          <w:rFonts w:cs="Calibri"/>
          <w:bCs/>
          <w:sz w:val="24"/>
          <w:szCs w:val="24"/>
        </w:rPr>
        <w:t xml:space="preserve">s-a materializat probabil la un nivel de </w:t>
      </w:r>
      <w:r w:rsidR="00F73D24">
        <w:rPr>
          <w:rFonts w:cs="Calibri"/>
          <w:bCs/>
          <w:sz w:val="24"/>
          <w:szCs w:val="24"/>
        </w:rPr>
        <w:t xml:space="preserve">cel puțin 0,2 pp din PIB. Aceste evoluții au impact și în construcțiile bugetare </w:t>
      </w:r>
      <w:r w:rsidR="00D965B7">
        <w:rPr>
          <w:rFonts w:cs="Calibri"/>
          <w:bCs/>
          <w:sz w:val="24"/>
          <w:szCs w:val="24"/>
        </w:rPr>
        <w:t>urm</w:t>
      </w:r>
      <w:r w:rsidR="00562A53">
        <w:rPr>
          <w:rFonts w:cs="Calibri"/>
          <w:bCs/>
          <w:sz w:val="24"/>
          <w:szCs w:val="24"/>
        </w:rPr>
        <w:t>ă</w:t>
      </w:r>
      <w:r w:rsidR="00D965B7">
        <w:rPr>
          <w:rFonts w:cs="Calibri"/>
          <w:bCs/>
          <w:sz w:val="24"/>
          <w:szCs w:val="24"/>
        </w:rPr>
        <w:t>toare</w:t>
      </w:r>
      <w:r w:rsidR="00F73D24">
        <w:rPr>
          <w:rFonts w:cs="Calibri"/>
          <w:bCs/>
          <w:sz w:val="24"/>
          <w:szCs w:val="24"/>
        </w:rPr>
        <w:t xml:space="preserve"> având în vedere caracterul lor permanent, o corecție reclamând </w:t>
      </w:r>
      <w:r w:rsidR="001927F2">
        <w:rPr>
          <w:rFonts w:cs="Calibri"/>
          <w:bCs/>
          <w:sz w:val="24"/>
          <w:szCs w:val="24"/>
        </w:rPr>
        <w:t xml:space="preserve">noi </w:t>
      </w:r>
      <w:r w:rsidR="00F73D24">
        <w:rPr>
          <w:rFonts w:cs="Calibri"/>
          <w:bCs/>
          <w:sz w:val="24"/>
          <w:szCs w:val="24"/>
        </w:rPr>
        <w:t>măsuri de politică fiscal-bugetară.</w:t>
      </w:r>
      <w:r w:rsidR="005E3107">
        <w:rPr>
          <w:rFonts w:cs="Calibri"/>
          <w:bCs/>
          <w:sz w:val="24"/>
          <w:szCs w:val="24"/>
        </w:rPr>
        <w:t xml:space="preserve"> </w:t>
      </w:r>
      <w:r w:rsidR="00315DB8">
        <w:rPr>
          <w:rFonts w:cs="Calibri"/>
          <w:bCs/>
          <w:sz w:val="24"/>
          <w:szCs w:val="24"/>
        </w:rPr>
        <w:t xml:space="preserve">Chiar dacă, din perspectiva deficitului bugetar din anul 2019, o eventuală reducere a cheltuielilor de investiții ar fi de natură să acomodeze, cel puțin parțial, influența acestor factori, aceasta ar avea probabil doar un efect temporar, respectiv la nivelul anului 2019. </w:t>
      </w:r>
      <w:r w:rsidR="00562A53">
        <w:rPr>
          <w:rFonts w:cs="Calibri"/>
          <w:b/>
          <w:bCs/>
          <w:sz w:val="24"/>
          <w:szCs w:val="24"/>
        </w:rPr>
        <w:t>Î</w:t>
      </w:r>
      <w:r w:rsidR="00D965B7">
        <w:rPr>
          <w:rFonts w:cs="Calibri"/>
          <w:b/>
          <w:bCs/>
          <w:sz w:val="24"/>
          <w:szCs w:val="24"/>
        </w:rPr>
        <w:t>n concluzie</w:t>
      </w:r>
      <w:r w:rsidR="005E3107" w:rsidRPr="005E3107">
        <w:rPr>
          <w:rFonts w:cs="Calibri"/>
          <w:b/>
          <w:bCs/>
          <w:sz w:val="24"/>
          <w:szCs w:val="24"/>
        </w:rPr>
        <w:t xml:space="preserve">, acești factori </w:t>
      </w:r>
      <w:r w:rsidR="00315DB8">
        <w:rPr>
          <w:rFonts w:cs="Calibri"/>
          <w:b/>
          <w:bCs/>
          <w:sz w:val="24"/>
          <w:szCs w:val="24"/>
        </w:rPr>
        <w:t xml:space="preserve">permanenți </w:t>
      </w:r>
      <w:r w:rsidR="005E3107" w:rsidRPr="005E3107">
        <w:rPr>
          <w:rFonts w:cs="Calibri"/>
          <w:b/>
          <w:bCs/>
          <w:sz w:val="24"/>
          <w:szCs w:val="24"/>
        </w:rPr>
        <w:t>conduc la un punct de plecare mai nefavorabil cu circa 0,45 pp din PIB</w:t>
      </w:r>
      <w:r w:rsidR="003C453C">
        <w:rPr>
          <w:rFonts w:cs="Calibri"/>
          <w:b/>
          <w:bCs/>
          <w:sz w:val="24"/>
          <w:szCs w:val="24"/>
        </w:rPr>
        <w:t xml:space="preserve"> </w:t>
      </w:r>
      <w:r w:rsidR="00202BF5">
        <w:rPr>
          <w:rFonts w:cs="Calibri"/>
          <w:b/>
          <w:bCs/>
          <w:sz w:val="24"/>
          <w:szCs w:val="24"/>
        </w:rPr>
        <w:t>î</w:t>
      </w:r>
      <w:r w:rsidR="003C453C">
        <w:rPr>
          <w:rFonts w:cs="Calibri"/>
          <w:b/>
          <w:bCs/>
          <w:sz w:val="24"/>
          <w:szCs w:val="24"/>
        </w:rPr>
        <w:t>n construc</w:t>
      </w:r>
      <w:r w:rsidR="00202BF5">
        <w:rPr>
          <w:rFonts w:cs="Calibri"/>
          <w:b/>
          <w:bCs/>
          <w:sz w:val="24"/>
          <w:szCs w:val="24"/>
        </w:rPr>
        <w:t>ț</w:t>
      </w:r>
      <w:r w:rsidR="003C453C">
        <w:rPr>
          <w:rFonts w:cs="Calibri"/>
          <w:b/>
          <w:bCs/>
          <w:sz w:val="24"/>
          <w:szCs w:val="24"/>
        </w:rPr>
        <w:t>ia bugetar</w:t>
      </w:r>
      <w:r w:rsidR="00202BF5">
        <w:rPr>
          <w:rFonts w:cs="Calibri"/>
          <w:b/>
          <w:bCs/>
          <w:sz w:val="24"/>
          <w:szCs w:val="24"/>
        </w:rPr>
        <w:t>ă</w:t>
      </w:r>
      <w:r w:rsidR="005E3107" w:rsidRPr="005E3107">
        <w:rPr>
          <w:rFonts w:cs="Calibri"/>
          <w:b/>
          <w:bCs/>
          <w:sz w:val="24"/>
          <w:szCs w:val="24"/>
        </w:rPr>
        <w:t>, ceea ce echivalează cu un deficit mai ridicat la nivelul anului 2020 în același cuantum</w:t>
      </w:r>
      <w:r w:rsidR="002703B9">
        <w:rPr>
          <w:rFonts w:cs="Calibri"/>
          <w:b/>
          <w:bCs/>
          <w:sz w:val="24"/>
          <w:szCs w:val="24"/>
        </w:rPr>
        <w:t>,</w:t>
      </w:r>
      <w:r w:rsidR="003C453C">
        <w:rPr>
          <w:rFonts w:cs="Calibri"/>
          <w:b/>
          <w:bCs/>
          <w:sz w:val="24"/>
          <w:szCs w:val="24"/>
        </w:rPr>
        <w:t xml:space="preserve"> alte condi</w:t>
      </w:r>
      <w:r w:rsidR="00562A53">
        <w:rPr>
          <w:rFonts w:cs="Calibri"/>
          <w:b/>
          <w:bCs/>
          <w:sz w:val="24"/>
          <w:szCs w:val="24"/>
        </w:rPr>
        <w:t>ț</w:t>
      </w:r>
      <w:r w:rsidR="003C453C">
        <w:rPr>
          <w:rFonts w:cs="Calibri"/>
          <w:b/>
          <w:bCs/>
          <w:sz w:val="24"/>
          <w:szCs w:val="24"/>
        </w:rPr>
        <w:t>ii fiind neschimbate</w:t>
      </w:r>
      <w:r w:rsidR="005E3107">
        <w:rPr>
          <w:rFonts w:cs="Calibri"/>
          <w:bCs/>
          <w:sz w:val="24"/>
          <w:szCs w:val="24"/>
        </w:rPr>
        <w:t>.</w:t>
      </w:r>
    </w:p>
    <w:p w14:paraId="5814C28A" w14:textId="7FF7531B" w:rsidR="00271F44" w:rsidRDefault="00F73D24" w:rsidP="003B38CB">
      <w:pPr>
        <w:widowControl w:val="0"/>
        <w:spacing w:after="200" w:line="276" w:lineRule="auto"/>
        <w:jc w:val="both"/>
        <w:rPr>
          <w:rFonts w:cs="Calibri"/>
          <w:bCs/>
          <w:sz w:val="24"/>
          <w:szCs w:val="24"/>
        </w:rPr>
      </w:pPr>
      <w:r>
        <w:rPr>
          <w:rFonts w:cs="Calibri"/>
          <w:bCs/>
          <w:sz w:val="24"/>
          <w:szCs w:val="24"/>
        </w:rPr>
        <w:t xml:space="preserve"> </w:t>
      </w:r>
    </w:p>
    <w:p w14:paraId="773FD112" w14:textId="77777777" w:rsidR="00D06B40" w:rsidRPr="00D06B40" w:rsidRDefault="00D06B40" w:rsidP="003B38CB">
      <w:pPr>
        <w:spacing w:after="200" w:line="276" w:lineRule="auto"/>
        <w:rPr>
          <w:b/>
          <w:i/>
          <w:sz w:val="24"/>
          <w:szCs w:val="24"/>
        </w:rPr>
      </w:pPr>
      <w:r w:rsidRPr="00D06B40">
        <w:rPr>
          <w:b/>
          <w:i/>
          <w:sz w:val="24"/>
          <w:szCs w:val="24"/>
        </w:rPr>
        <w:t xml:space="preserve">Obiective și ținte ale politicii fiscal-bugetare în perioada 2020 - 2023 </w:t>
      </w:r>
    </w:p>
    <w:p w14:paraId="7049BDDC" w14:textId="45CD804B" w:rsidR="00D06B40" w:rsidRPr="00562A53" w:rsidRDefault="00D06B40" w:rsidP="003B38CB">
      <w:pPr>
        <w:spacing w:after="200" w:line="276" w:lineRule="auto"/>
        <w:jc w:val="both"/>
        <w:rPr>
          <w:sz w:val="24"/>
          <w:szCs w:val="24"/>
        </w:rPr>
      </w:pPr>
      <w:r w:rsidRPr="00562A53">
        <w:rPr>
          <w:sz w:val="24"/>
          <w:szCs w:val="24"/>
        </w:rPr>
        <w:t>Const</w:t>
      </w:r>
      <w:r w:rsidR="00260658" w:rsidRPr="00562A53">
        <w:rPr>
          <w:sz w:val="24"/>
          <w:szCs w:val="24"/>
        </w:rPr>
        <w:t>r</w:t>
      </w:r>
      <w:r w:rsidRPr="00562A53">
        <w:rPr>
          <w:sz w:val="24"/>
          <w:szCs w:val="24"/>
        </w:rPr>
        <w:t xml:space="preserve">ucția bugetară pentru anul 2020 are în vedere o țintă de deficit bugetar de 3,59% potrivit metodologiei </w:t>
      </w:r>
      <w:r w:rsidR="00A12B71" w:rsidRPr="00562A53">
        <w:rPr>
          <w:i/>
          <w:sz w:val="24"/>
          <w:szCs w:val="24"/>
        </w:rPr>
        <w:t>cash</w:t>
      </w:r>
      <w:r w:rsidRPr="00562A53">
        <w:rPr>
          <w:sz w:val="24"/>
          <w:szCs w:val="24"/>
        </w:rPr>
        <w:t xml:space="preserve">, reprezentând o diminuare de 0,84 pp din PIB față de nivelul estimat pentru anul 2019. Nivelul corespunzător al țintei de deficit bugetar pe anul 2020 potrivit ESA 2010 este de 3,58% din PIB, reducerea deficitului bugetar din anul 2020 față de nivelul estimat pentru anul anterior fiind de doar 0,23 </w:t>
      </w:r>
      <w:r w:rsidRPr="00562A53">
        <w:rPr>
          <w:sz w:val="24"/>
          <w:szCs w:val="24"/>
        </w:rPr>
        <w:lastRenderedPageBreak/>
        <w:t>pp din PIB. Această evoluție este compatibilă, potrivit MFP, cu o reducere a deficitului structural cu 0,32 pp din PIB potențial, respectiv de la 3,71% la 3,39%.</w:t>
      </w:r>
    </w:p>
    <w:p w14:paraId="045DD35B" w14:textId="50D91E65" w:rsidR="0053364C" w:rsidRDefault="0053364C" w:rsidP="003B38CB">
      <w:pPr>
        <w:spacing w:after="200" w:line="276" w:lineRule="auto"/>
        <w:jc w:val="both"/>
        <w:rPr>
          <w:sz w:val="24"/>
          <w:szCs w:val="24"/>
        </w:rPr>
      </w:pPr>
      <w:r>
        <w:rPr>
          <w:sz w:val="24"/>
          <w:szCs w:val="24"/>
        </w:rPr>
        <w:t xml:space="preserve">Este de menționat faptul că reducerea deficitului </w:t>
      </w:r>
      <w:r w:rsidRPr="0053364C">
        <w:rPr>
          <w:i/>
          <w:sz w:val="24"/>
          <w:szCs w:val="24"/>
        </w:rPr>
        <w:t>cash</w:t>
      </w:r>
      <w:r>
        <w:rPr>
          <w:sz w:val="24"/>
          <w:szCs w:val="24"/>
        </w:rPr>
        <w:t xml:space="preserve"> din anul 2020 comparativ cu anul 2019 este sprijinită de două elemente cu caracter </w:t>
      </w:r>
      <w:r w:rsidR="00A12B71">
        <w:rPr>
          <w:sz w:val="24"/>
          <w:szCs w:val="24"/>
        </w:rPr>
        <w:t xml:space="preserve">temporar/excepțional </w:t>
      </w:r>
      <w:r>
        <w:rPr>
          <w:sz w:val="24"/>
          <w:szCs w:val="24"/>
        </w:rPr>
        <w:t xml:space="preserve">(engl. </w:t>
      </w:r>
      <w:r w:rsidRPr="0053364C">
        <w:rPr>
          <w:i/>
          <w:sz w:val="24"/>
          <w:szCs w:val="24"/>
        </w:rPr>
        <w:t>one-off</w:t>
      </w:r>
      <w:r>
        <w:rPr>
          <w:sz w:val="24"/>
          <w:szCs w:val="24"/>
        </w:rPr>
        <w:t>), respectiv rambursările în contul taxei auto efectuate în anul 2019 în cuantum de 2,</w:t>
      </w:r>
      <w:r w:rsidR="0026389C">
        <w:rPr>
          <w:sz w:val="24"/>
          <w:szCs w:val="24"/>
        </w:rPr>
        <w:t>8</w:t>
      </w:r>
      <w:r>
        <w:rPr>
          <w:sz w:val="24"/>
          <w:szCs w:val="24"/>
        </w:rPr>
        <w:t xml:space="preserve"> mld. lei și preconizata închiriere în anul 2020 a benzilor de frecvență 5G </w:t>
      </w:r>
      <w:r w:rsidR="004D2CB7">
        <w:rPr>
          <w:sz w:val="24"/>
          <w:szCs w:val="24"/>
        </w:rPr>
        <w:t xml:space="preserve">pentru următorii 10 ani de </w:t>
      </w:r>
      <w:r>
        <w:rPr>
          <w:sz w:val="24"/>
          <w:szCs w:val="24"/>
        </w:rPr>
        <w:t xml:space="preserve">către operatorii de telefonie mobilă de la care se așteaptă încasări bugetare de circa 2,5 mld lei. </w:t>
      </w:r>
      <w:r w:rsidR="00A12B71">
        <w:rPr>
          <w:sz w:val="24"/>
          <w:szCs w:val="24"/>
        </w:rPr>
        <w:t>Aceste elemente</w:t>
      </w:r>
      <w:r w:rsidR="00A12B71" w:rsidRPr="00D115AC">
        <w:rPr>
          <w:sz w:val="24"/>
          <w:szCs w:val="24"/>
        </w:rPr>
        <w:t xml:space="preserve"> justifică o reducere a deficitului </w:t>
      </w:r>
      <w:r w:rsidR="00A12B71" w:rsidRPr="00DF29E0">
        <w:rPr>
          <w:i/>
          <w:sz w:val="24"/>
          <w:szCs w:val="24"/>
        </w:rPr>
        <w:t>cash</w:t>
      </w:r>
      <w:r w:rsidR="00A12B71" w:rsidRPr="00D115AC">
        <w:rPr>
          <w:sz w:val="24"/>
          <w:szCs w:val="24"/>
        </w:rPr>
        <w:t xml:space="preserve"> în anul 2020 față de anul 2019 de c</w:t>
      </w:r>
      <w:r w:rsidR="0026389C">
        <w:rPr>
          <w:sz w:val="24"/>
          <w:szCs w:val="24"/>
        </w:rPr>
        <w:t>irca 0,47</w:t>
      </w:r>
      <w:r w:rsidR="00A12B71" w:rsidRPr="00D115AC">
        <w:rPr>
          <w:sz w:val="24"/>
          <w:szCs w:val="24"/>
        </w:rPr>
        <w:t xml:space="preserve"> pp din PIB, fără ca aceasta să implice vreun efort de ajustare.</w:t>
      </w:r>
      <w:r w:rsidR="00A12B71">
        <w:rPr>
          <w:sz w:val="24"/>
          <w:szCs w:val="24"/>
        </w:rPr>
        <w:t xml:space="preserve"> </w:t>
      </w:r>
      <w:r w:rsidR="00A12B71" w:rsidRPr="00D115AC">
        <w:rPr>
          <w:sz w:val="24"/>
          <w:szCs w:val="24"/>
        </w:rPr>
        <w:t>De altfel, acest aspect este pe deplin observabil la nivelul soldului bugetar potrivit ESA 2010</w:t>
      </w:r>
      <w:r w:rsidR="00A12B71">
        <w:rPr>
          <w:sz w:val="24"/>
          <w:szCs w:val="24"/>
        </w:rPr>
        <w:t xml:space="preserve"> </w:t>
      </w:r>
      <w:r w:rsidR="00A12B71" w:rsidRPr="00D115AC">
        <w:rPr>
          <w:sz w:val="24"/>
          <w:szCs w:val="24"/>
        </w:rPr>
        <w:t>care nu se îmbunăt</w:t>
      </w:r>
      <w:r w:rsidR="00A12B71">
        <w:rPr>
          <w:sz w:val="24"/>
          <w:szCs w:val="24"/>
        </w:rPr>
        <w:t>ăț</w:t>
      </w:r>
      <w:r w:rsidR="00A12B71" w:rsidRPr="00D115AC">
        <w:rPr>
          <w:sz w:val="24"/>
          <w:szCs w:val="24"/>
        </w:rPr>
        <w:t xml:space="preserve">ește la fel de mult precum cel potrivit metodologiei </w:t>
      </w:r>
      <w:r w:rsidR="00A12B71" w:rsidRPr="00A12B71">
        <w:rPr>
          <w:i/>
          <w:sz w:val="24"/>
          <w:szCs w:val="24"/>
        </w:rPr>
        <w:t>cash</w:t>
      </w:r>
      <w:r w:rsidR="00A12B71">
        <w:rPr>
          <w:sz w:val="24"/>
          <w:szCs w:val="24"/>
        </w:rPr>
        <w:t>, cele două elemente descrise mai sus afectând execuția bugetară potrivit ESA 2010 doar într-o foarte mică măsură.</w:t>
      </w:r>
    </w:p>
    <w:p w14:paraId="3CC5CCBD" w14:textId="4797DF71" w:rsidR="00044F8E" w:rsidRDefault="00044F8E" w:rsidP="003B38CB">
      <w:pPr>
        <w:spacing w:after="200" w:line="276" w:lineRule="auto"/>
        <w:jc w:val="both"/>
        <w:rPr>
          <w:sz w:val="24"/>
          <w:szCs w:val="24"/>
        </w:rPr>
      </w:pPr>
      <w:r>
        <w:rPr>
          <w:sz w:val="24"/>
          <w:szCs w:val="24"/>
        </w:rPr>
        <w:t xml:space="preserve">Dincolo de reducerea deficitului </w:t>
      </w:r>
      <w:r w:rsidRPr="0053364C">
        <w:rPr>
          <w:i/>
          <w:sz w:val="24"/>
          <w:szCs w:val="24"/>
        </w:rPr>
        <w:t>cash</w:t>
      </w:r>
      <w:r>
        <w:rPr>
          <w:i/>
          <w:sz w:val="24"/>
          <w:szCs w:val="24"/>
        </w:rPr>
        <w:t xml:space="preserve"> </w:t>
      </w:r>
      <w:r w:rsidR="00976991" w:rsidRPr="00267CF4">
        <w:rPr>
          <w:sz w:val="24"/>
          <w:szCs w:val="24"/>
        </w:rPr>
        <w:t>programat</w:t>
      </w:r>
      <w:r w:rsidR="00976991">
        <w:rPr>
          <w:i/>
          <w:sz w:val="24"/>
          <w:szCs w:val="24"/>
        </w:rPr>
        <w:t xml:space="preserve"> </w:t>
      </w:r>
      <w:r w:rsidR="004D2CB7">
        <w:rPr>
          <w:sz w:val="24"/>
          <w:szCs w:val="24"/>
        </w:rPr>
        <w:t>datorată</w:t>
      </w:r>
      <w:r>
        <w:rPr>
          <w:sz w:val="24"/>
          <w:szCs w:val="24"/>
        </w:rPr>
        <w:t xml:space="preserve"> elementelor cu caracter temporar/excepțional descrisă mai sus, diminuarea deficitului bugetar are drept </w:t>
      </w:r>
      <w:r w:rsidR="00976991">
        <w:rPr>
          <w:sz w:val="24"/>
          <w:szCs w:val="24"/>
        </w:rPr>
        <w:t>surse</w:t>
      </w:r>
      <w:r>
        <w:rPr>
          <w:sz w:val="24"/>
          <w:szCs w:val="24"/>
        </w:rPr>
        <w:t xml:space="preserve"> </w:t>
      </w:r>
      <w:r w:rsidR="004D2CB7">
        <w:rPr>
          <w:sz w:val="24"/>
          <w:szCs w:val="24"/>
        </w:rPr>
        <w:t>principale</w:t>
      </w:r>
      <w:r>
        <w:rPr>
          <w:sz w:val="24"/>
          <w:szCs w:val="24"/>
        </w:rPr>
        <w:t xml:space="preserve"> micșorarea </w:t>
      </w:r>
      <w:r w:rsidRPr="00D115AC">
        <w:rPr>
          <w:sz w:val="24"/>
          <w:szCs w:val="24"/>
        </w:rPr>
        <w:t>ponderii în PIB a cheltuielilor de personal (cu 0,17 pp), a celor cu bunuri și servicii (cu 0,2</w:t>
      </w:r>
      <w:r w:rsidR="004D2CB7">
        <w:rPr>
          <w:sz w:val="24"/>
          <w:szCs w:val="24"/>
        </w:rPr>
        <w:t>1</w:t>
      </w:r>
      <w:r w:rsidRPr="00D115AC">
        <w:rPr>
          <w:sz w:val="24"/>
          <w:szCs w:val="24"/>
        </w:rPr>
        <w:t xml:space="preserve"> pp), a cheltuielilor de capital (cu 0,4</w:t>
      </w:r>
      <w:r w:rsidR="00D312D5">
        <w:rPr>
          <w:sz w:val="24"/>
          <w:szCs w:val="24"/>
        </w:rPr>
        <w:t>5</w:t>
      </w:r>
      <w:r w:rsidRPr="00D115AC">
        <w:rPr>
          <w:sz w:val="24"/>
          <w:szCs w:val="24"/>
        </w:rPr>
        <w:t xml:space="preserve"> pp) </w:t>
      </w:r>
      <w:r w:rsidR="005C08EF">
        <w:rPr>
          <w:sz w:val="24"/>
          <w:szCs w:val="24"/>
        </w:rPr>
        <w:t>compensate parțial de creșterea</w:t>
      </w:r>
      <w:r w:rsidRPr="00D115AC">
        <w:rPr>
          <w:sz w:val="24"/>
          <w:szCs w:val="24"/>
        </w:rPr>
        <w:t xml:space="preserve"> cheltuielil</w:t>
      </w:r>
      <w:r w:rsidR="005C08EF">
        <w:rPr>
          <w:sz w:val="24"/>
          <w:szCs w:val="24"/>
        </w:rPr>
        <w:t>or</w:t>
      </w:r>
      <w:r w:rsidRPr="00D115AC">
        <w:rPr>
          <w:sz w:val="24"/>
          <w:szCs w:val="24"/>
        </w:rPr>
        <w:t xml:space="preserve"> cu asistența socială cu 0,6</w:t>
      </w:r>
      <w:r w:rsidR="00D312D5">
        <w:rPr>
          <w:sz w:val="24"/>
          <w:szCs w:val="24"/>
        </w:rPr>
        <w:t>1</w:t>
      </w:r>
      <w:r w:rsidRPr="00D115AC">
        <w:rPr>
          <w:sz w:val="24"/>
          <w:szCs w:val="24"/>
        </w:rPr>
        <w:t xml:space="preserve"> pp din PIB</w:t>
      </w:r>
      <w:r w:rsidR="005C08EF">
        <w:rPr>
          <w:sz w:val="24"/>
          <w:szCs w:val="24"/>
        </w:rPr>
        <w:t>,</w:t>
      </w:r>
      <w:r w:rsidRPr="00D115AC">
        <w:rPr>
          <w:sz w:val="24"/>
          <w:szCs w:val="24"/>
        </w:rPr>
        <w:t xml:space="preserve"> ca urmare a majorării punctului de pensie cu 40% de la 1 septembrie</w:t>
      </w:r>
      <w:r>
        <w:rPr>
          <w:sz w:val="24"/>
          <w:szCs w:val="24"/>
        </w:rPr>
        <w:t xml:space="preserve"> 2020. În esență, bugetul acomodează presiuni de proporții </w:t>
      </w:r>
      <w:r w:rsidR="00D75071">
        <w:rPr>
          <w:sz w:val="24"/>
          <w:szCs w:val="24"/>
        </w:rPr>
        <w:t>la nivelul cheltuielilor de asistență socială printr-o reducere discreționară a cheltuielilor de capital și menținerea unui rit</w:t>
      </w:r>
      <w:r w:rsidR="004D2CB7">
        <w:rPr>
          <w:sz w:val="24"/>
          <w:szCs w:val="24"/>
        </w:rPr>
        <w:t xml:space="preserve">m de creștere inferior </w:t>
      </w:r>
      <w:r w:rsidR="00D75071">
        <w:rPr>
          <w:sz w:val="24"/>
          <w:szCs w:val="24"/>
        </w:rPr>
        <w:t>PIB nominal pentru cheltuielile de personal și cele cu bunuri și servicii, în con</w:t>
      </w:r>
      <w:r w:rsidR="004D2CB7">
        <w:rPr>
          <w:sz w:val="24"/>
          <w:szCs w:val="24"/>
        </w:rPr>
        <w:t>dițiile în care ajustarea struct</w:t>
      </w:r>
      <w:r w:rsidR="00D75071">
        <w:rPr>
          <w:sz w:val="24"/>
          <w:szCs w:val="24"/>
        </w:rPr>
        <w:t>urală a deficitului bugetar este minimală.</w:t>
      </w:r>
    </w:p>
    <w:p w14:paraId="3C06220B" w14:textId="0A86E958" w:rsidR="00DE14E3" w:rsidRDefault="00260658" w:rsidP="003B38CB">
      <w:pPr>
        <w:spacing w:after="200" w:line="276" w:lineRule="auto"/>
        <w:jc w:val="both"/>
        <w:rPr>
          <w:sz w:val="24"/>
          <w:szCs w:val="24"/>
        </w:rPr>
      </w:pPr>
      <w:r>
        <w:rPr>
          <w:sz w:val="24"/>
          <w:szCs w:val="24"/>
        </w:rPr>
        <w:t>Cadrul fiscal-</w:t>
      </w:r>
      <w:r w:rsidR="00D06B40">
        <w:rPr>
          <w:sz w:val="24"/>
          <w:szCs w:val="24"/>
        </w:rPr>
        <w:t xml:space="preserve">bugetar aferent perioadei 2021-2023 țintește </w:t>
      </w:r>
      <w:r w:rsidR="00E7473D">
        <w:rPr>
          <w:sz w:val="24"/>
          <w:szCs w:val="24"/>
        </w:rPr>
        <w:t>o</w:t>
      </w:r>
      <w:r w:rsidR="00D06B40">
        <w:rPr>
          <w:sz w:val="24"/>
          <w:szCs w:val="24"/>
        </w:rPr>
        <w:t xml:space="preserve"> reducere și mai însemnată a dezechilibrului bugetar, deficitul BGC </w:t>
      </w:r>
      <w:r w:rsidR="005C08EF">
        <w:rPr>
          <w:sz w:val="24"/>
          <w:szCs w:val="24"/>
        </w:rPr>
        <w:t xml:space="preserve">fiind programat </w:t>
      </w:r>
      <w:r w:rsidR="00D06B40">
        <w:rPr>
          <w:sz w:val="24"/>
          <w:szCs w:val="24"/>
        </w:rPr>
        <w:t xml:space="preserve">să se îmbunătățească </w:t>
      </w:r>
      <w:r w:rsidR="00DE14E3">
        <w:rPr>
          <w:sz w:val="24"/>
          <w:szCs w:val="24"/>
        </w:rPr>
        <w:t>la finalul ace</w:t>
      </w:r>
      <w:r w:rsidR="004D2CB7">
        <w:rPr>
          <w:sz w:val="24"/>
          <w:szCs w:val="24"/>
        </w:rPr>
        <w:t>s</w:t>
      </w:r>
      <w:r w:rsidR="00DE14E3">
        <w:rPr>
          <w:sz w:val="24"/>
          <w:szCs w:val="24"/>
        </w:rPr>
        <w:t xml:space="preserve">tui interval </w:t>
      </w:r>
      <w:r w:rsidR="00D06B40">
        <w:rPr>
          <w:sz w:val="24"/>
          <w:szCs w:val="24"/>
        </w:rPr>
        <w:t xml:space="preserve">comparativ cu anul 2020 cu 1,83 pp din PIB potrivit metodologiei </w:t>
      </w:r>
      <w:r w:rsidR="00A12B71" w:rsidRPr="00A12B71">
        <w:rPr>
          <w:i/>
          <w:sz w:val="24"/>
          <w:szCs w:val="24"/>
        </w:rPr>
        <w:t>cash</w:t>
      </w:r>
      <w:r w:rsidR="006E744E">
        <w:rPr>
          <w:i/>
          <w:sz w:val="24"/>
          <w:szCs w:val="24"/>
        </w:rPr>
        <w:t>,</w:t>
      </w:r>
      <w:r w:rsidR="00D06B40">
        <w:rPr>
          <w:sz w:val="24"/>
          <w:szCs w:val="24"/>
        </w:rPr>
        <w:t xml:space="preserve"> până la un nivel de 1,76% din PIB</w:t>
      </w:r>
      <w:r w:rsidR="006E744E">
        <w:rPr>
          <w:sz w:val="24"/>
          <w:szCs w:val="24"/>
        </w:rPr>
        <w:t>,</w:t>
      </w:r>
      <w:r w:rsidR="00D06B40">
        <w:rPr>
          <w:sz w:val="24"/>
          <w:szCs w:val="24"/>
        </w:rPr>
        <w:t xml:space="preserve"> și cu 1,54 pp din PIB potrivit metodologiei europene până la un nivel de 1,94% din PIB. În termeni struc</w:t>
      </w:r>
      <w:r>
        <w:rPr>
          <w:sz w:val="24"/>
          <w:szCs w:val="24"/>
        </w:rPr>
        <w:t>t</w:t>
      </w:r>
      <w:r w:rsidR="00D06B40">
        <w:rPr>
          <w:sz w:val="24"/>
          <w:szCs w:val="24"/>
        </w:rPr>
        <w:t>urali, potrivit MFP, ajustarea deficitului reprezintă 1,54 pp din PIB potențial, la finalul anului 2023 persistând o deviație de l</w:t>
      </w:r>
      <w:r w:rsidR="004D2CB7">
        <w:rPr>
          <w:sz w:val="24"/>
          <w:szCs w:val="24"/>
        </w:rPr>
        <w:t xml:space="preserve">a obiectivul pe termen mediu </w:t>
      </w:r>
      <w:r w:rsidR="00E7473D">
        <w:rPr>
          <w:sz w:val="24"/>
          <w:szCs w:val="24"/>
        </w:rPr>
        <w:t>–</w:t>
      </w:r>
      <w:r w:rsidR="004D2CB7">
        <w:rPr>
          <w:sz w:val="24"/>
          <w:szCs w:val="24"/>
        </w:rPr>
        <w:t xml:space="preserve"> </w:t>
      </w:r>
      <w:r w:rsidR="00D06B40">
        <w:rPr>
          <w:sz w:val="24"/>
          <w:szCs w:val="24"/>
        </w:rPr>
        <w:t>reprezentat</w:t>
      </w:r>
      <w:r w:rsidR="00E7473D">
        <w:rPr>
          <w:sz w:val="24"/>
          <w:szCs w:val="24"/>
        </w:rPr>
        <w:t xml:space="preserve"> </w:t>
      </w:r>
      <w:r w:rsidR="00D06B40">
        <w:rPr>
          <w:sz w:val="24"/>
          <w:szCs w:val="24"/>
        </w:rPr>
        <w:t xml:space="preserve">de un deficit </w:t>
      </w:r>
      <w:r w:rsidR="00E7473D">
        <w:rPr>
          <w:sz w:val="24"/>
          <w:szCs w:val="24"/>
        </w:rPr>
        <w:t xml:space="preserve">structural </w:t>
      </w:r>
      <w:r w:rsidR="00D06B40">
        <w:rPr>
          <w:sz w:val="24"/>
          <w:szCs w:val="24"/>
        </w:rPr>
        <w:t>de 1% din PIB potențial – de 0,85 pp.</w:t>
      </w:r>
    </w:p>
    <w:p w14:paraId="6C5A4849" w14:textId="77777777" w:rsidR="00873AA7" w:rsidRDefault="00873AA7" w:rsidP="003B38CB">
      <w:pPr>
        <w:spacing w:after="200" w:line="276" w:lineRule="auto"/>
        <w:jc w:val="both"/>
        <w:rPr>
          <w:sz w:val="24"/>
          <w:szCs w:val="24"/>
        </w:rPr>
      </w:pPr>
    </w:p>
    <w:p w14:paraId="165819F6" w14:textId="43BE60E1" w:rsidR="00DE14E3" w:rsidRDefault="00DE14E3" w:rsidP="003B38CB">
      <w:pPr>
        <w:spacing w:after="200" w:line="276" w:lineRule="auto"/>
        <w:jc w:val="both"/>
        <w:rPr>
          <w:b/>
          <w:i/>
          <w:sz w:val="24"/>
          <w:szCs w:val="24"/>
        </w:rPr>
      </w:pPr>
      <w:r>
        <w:rPr>
          <w:b/>
          <w:i/>
          <w:sz w:val="24"/>
          <w:szCs w:val="24"/>
        </w:rPr>
        <w:t>Bugetul pe anul 2020 – aspecte problematice</w:t>
      </w:r>
    </w:p>
    <w:p w14:paraId="63F22786" w14:textId="2863C4A0" w:rsidR="00873AA7" w:rsidRDefault="00873AA7" w:rsidP="003B38CB">
      <w:pPr>
        <w:spacing w:after="200" w:line="276" w:lineRule="auto"/>
        <w:jc w:val="both"/>
        <w:rPr>
          <w:sz w:val="24"/>
          <w:szCs w:val="24"/>
        </w:rPr>
      </w:pPr>
      <w:r w:rsidRPr="00267CF4">
        <w:rPr>
          <w:sz w:val="24"/>
          <w:szCs w:val="24"/>
          <w:u w:val="single"/>
        </w:rPr>
        <w:t xml:space="preserve">Comparativ cu parametrii fiscali care au stat la baza construcției bugetare deja legiferate au intervenit modificări semnificative care sunt de natură să afecteze proiecția de încasări bugetare și, </w:t>
      </w:r>
      <w:r w:rsidRPr="00267CF4">
        <w:rPr>
          <w:i/>
          <w:sz w:val="24"/>
          <w:szCs w:val="24"/>
          <w:u w:val="single"/>
        </w:rPr>
        <w:t>ceteris paribus</w:t>
      </w:r>
      <w:r w:rsidRPr="00267CF4">
        <w:rPr>
          <w:sz w:val="24"/>
          <w:szCs w:val="24"/>
          <w:u w:val="single"/>
        </w:rPr>
        <w:t>, soldul bugetar.</w:t>
      </w:r>
      <w:r>
        <w:rPr>
          <w:sz w:val="24"/>
          <w:szCs w:val="24"/>
        </w:rPr>
        <w:t xml:space="preserve"> Astfel, reducerea ac</w:t>
      </w:r>
      <w:r w:rsidR="004D2CB7">
        <w:rPr>
          <w:sz w:val="24"/>
          <w:szCs w:val="24"/>
        </w:rPr>
        <w:t xml:space="preserve">cizelor la produsele energetice </w:t>
      </w:r>
      <w:r>
        <w:rPr>
          <w:sz w:val="24"/>
          <w:szCs w:val="24"/>
        </w:rPr>
        <w:t>ș</w:t>
      </w:r>
      <w:r w:rsidR="004D2CB7">
        <w:rPr>
          <w:sz w:val="24"/>
          <w:szCs w:val="24"/>
        </w:rPr>
        <w:t>i eliminarea supra-impozitării</w:t>
      </w:r>
      <w:r>
        <w:rPr>
          <w:sz w:val="24"/>
          <w:szCs w:val="24"/>
        </w:rPr>
        <w:t xml:space="preserve"> salariaților cu timp parțial de muncă au devenit o certitudine, iar taxarea suplimentară a sectorului energetic și a sectorului bancar stabilită prin OUG </w:t>
      </w:r>
      <w:r w:rsidR="0015157A">
        <w:rPr>
          <w:sz w:val="24"/>
          <w:szCs w:val="24"/>
        </w:rPr>
        <w:t xml:space="preserve">nr. </w:t>
      </w:r>
      <w:r>
        <w:rPr>
          <w:sz w:val="24"/>
          <w:szCs w:val="24"/>
        </w:rPr>
        <w:t xml:space="preserve">114/2018 a fost abrogată. Impactul acestor măsuri nu a fost cuprins în estimarea veniturilor, decizie pe care CF a </w:t>
      </w:r>
      <w:r w:rsidR="006E744E">
        <w:rPr>
          <w:sz w:val="24"/>
          <w:szCs w:val="24"/>
        </w:rPr>
        <w:t>remarcat-o</w:t>
      </w:r>
      <w:r>
        <w:rPr>
          <w:sz w:val="24"/>
          <w:szCs w:val="24"/>
        </w:rPr>
        <w:t xml:space="preserve"> în opinia preliminară asupra proiectului de buget, având în vedere faptul că acestea se aflau fie în etapa finală a procesului legislativ</w:t>
      </w:r>
      <w:r w:rsidR="0015157A">
        <w:rPr>
          <w:sz w:val="24"/>
          <w:szCs w:val="24"/>
        </w:rPr>
        <w:t xml:space="preserve"> (</w:t>
      </w:r>
      <w:r>
        <w:rPr>
          <w:sz w:val="24"/>
          <w:szCs w:val="24"/>
        </w:rPr>
        <w:t xml:space="preserve">în </w:t>
      </w:r>
      <w:r>
        <w:rPr>
          <w:sz w:val="24"/>
          <w:szCs w:val="24"/>
        </w:rPr>
        <w:lastRenderedPageBreak/>
        <w:t>cazul reducerii accizelor la produsele energetice și a modificării impozită</w:t>
      </w:r>
      <w:r w:rsidR="00D312D5">
        <w:rPr>
          <w:sz w:val="24"/>
          <w:szCs w:val="24"/>
        </w:rPr>
        <w:t>rii cont</w:t>
      </w:r>
      <w:r w:rsidR="004D2CB7">
        <w:rPr>
          <w:sz w:val="24"/>
          <w:szCs w:val="24"/>
        </w:rPr>
        <w:t>r</w:t>
      </w:r>
      <w:r w:rsidR="00D312D5">
        <w:rPr>
          <w:sz w:val="24"/>
          <w:szCs w:val="24"/>
        </w:rPr>
        <w:t>a</w:t>
      </w:r>
      <w:r w:rsidR="004D2CB7">
        <w:rPr>
          <w:sz w:val="24"/>
          <w:szCs w:val="24"/>
        </w:rPr>
        <w:t>ctelor cu ti</w:t>
      </w:r>
      <w:r w:rsidR="00202BF5">
        <w:rPr>
          <w:sz w:val="24"/>
          <w:szCs w:val="24"/>
        </w:rPr>
        <w:t>m</w:t>
      </w:r>
      <w:r w:rsidR="004D2CB7">
        <w:rPr>
          <w:sz w:val="24"/>
          <w:szCs w:val="24"/>
        </w:rPr>
        <w:t>p parțial</w:t>
      </w:r>
      <w:r w:rsidR="0015157A">
        <w:rPr>
          <w:sz w:val="24"/>
          <w:szCs w:val="24"/>
        </w:rPr>
        <w:t>),</w:t>
      </w:r>
      <w:r>
        <w:rPr>
          <w:sz w:val="24"/>
          <w:szCs w:val="24"/>
        </w:rPr>
        <w:t xml:space="preserve"> fie pe agenda imediată a Guvernului </w:t>
      </w:r>
      <w:r w:rsidR="0015157A">
        <w:rPr>
          <w:sz w:val="24"/>
          <w:szCs w:val="24"/>
        </w:rPr>
        <w:t>(</w:t>
      </w:r>
      <w:r>
        <w:rPr>
          <w:sz w:val="24"/>
          <w:szCs w:val="24"/>
        </w:rPr>
        <w:t>în cazul modificărilor prevederilor OUG</w:t>
      </w:r>
      <w:r w:rsidR="0015157A">
        <w:rPr>
          <w:sz w:val="24"/>
          <w:szCs w:val="24"/>
        </w:rPr>
        <w:t xml:space="preserve"> nr.</w:t>
      </w:r>
      <w:r>
        <w:rPr>
          <w:sz w:val="24"/>
          <w:szCs w:val="24"/>
        </w:rPr>
        <w:t xml:space="preserve"> 114/2018</w:t>
      </w:r>
      <w:r w:rsidR="0015157A">
        <w:rPr>
          <w:sz w:val="24"/>
          <w:szCs w:val="24"/>
        </w:rPr>
        <w:t>).</w:t>
      </w:r>
      <w:r>
        <w:rPr>
          <w:sz w:val="24"/>
          <w:szCs w:val="24"/>
        </w:rPr>
        <w:t xml:space="preserve"> </w:t>
      </w:r>
    </w:p>
    <w:p w14:paraId="5D15B1A6" w14:textId="12311F7D" w:rsidR="005E3107" w:rsidRDefault="006E744E" w:rsidP="003B38CB">
      <w:pPr>
        <w:spacing w:after="200" w:line="276" w:lineRule="auto"/>
        <w:jc w:val="both"/>
        <w:rPr>
          <w:sz w:val="24"/>
          <w:szCs w:val="24"/>
        </w:rPr>
      </w:pPr>
      <w:r>
        <w:rPr>
          <w:sz w:val="24"/>
          <w:szCs w:val="24"/>
        </w:rPr>
        <w:t>P</w:t>
      </w:r>
      <w:r w:rsidR="00AD0C95">
        <w:rPr>
          <w:sz w:val="24"/>
          <w:szCs w:val="24"/>
        </w:rPr>
        <w:t>otrivit estimărilor CF</w:t>
      </w:r>
      <w:r>
        <w:rPr>
          <w:sz w:val="24"/>
          <w:szCs w:val="24"/>
        </w:rPr>
        <w:t>,</w:t>
      </w:r>
      <w:r w:rsidR="00AD0C95">
        <w:rPr>
          <w:sz w:val="24"/>
          <w:szCs w:val="24"/>
        </w:rPr>
        <w:t xml:space="preserve"> </w:t>
      </w:r>
      <w:r w:rsidR="00AD0C95" w:rsidRPr="00AD0C95">
        <w:rPr>
          <w:sz w:val="24"/>
          <w:szCs w:val="24"/>
        </w:rPr>
        <w:t xml:space="preserve">reducerea accizelor la produsele energetice </w:t>
      </w:r>
      <w:r w:rsidR="00AD0C95">
        <w:rPr>
          <w:sz w:val="24"/>
          <w:szCs w:val="24"/>
        </w:rPr>
        <w:t xml:space="preserve">are un </w:t>
      </w:r>
      <w:r w:rsidR="00AD0C95" w:rsidRPr="00AD0C95">
        <w:rPr>
          <w:sz w:val="24"/>
          <w:szCs w:val="24"/>
        </w:rPr>
        <w:t>impact bugetar</w:t>
      </w:r>
      <w:r w:rsidR="00AD0C95">
        <w:rPr>
          <w:sz w:val="24"/>
          <w:szCs w:val="24"/>
        </w:rPr>
        <w:t xml:space="preserve">, </w:t>
      </w:r>
      <w:r w:rsidR="00AD0C95" w:rsidRPr="00AD0C95">
        <w:rPr>
          <w:sz w:val="24"/>
          <w:szCs w:val="24"/>
        </w:rPr>
        <w:t xml:space="preserve">inclusiv </w:t>
      </w:r>
      <w:r w:rsidR="00AD0C95">
        <w:rPr>
          <w:sz w:val="24"/>
          <w:szCs w:val="24"/>
        </w:rPr>
        <w:t xml:space="preserve">cel de la nivelul TVA, de </w:t>
      </w:r>
      <w:r w:rsidR="004D2CB7">
        <w:rPr>
          <w:sz w:val="24"/>
          <w:szCs w:val="24"/>
        </w:rPr>
        <w:t>-</w:t>
      </w:r>
      <w:r w:rsidR="00AD0C95">
        <w:rPr>
          <w:sz w:val="24"/>
          <w:szCs w:val="24"/>
        </w:rPr>
        <w:t xml:space="preserve">3,6 mld. lei sau 0,32 pp din PIB, </w:t>
      </w:r>
      <w:r w:rsidR="00AD0C95" w:rsidRPr="00AD0C95">
        <w:rPr>
          <w:sz w:val="24"/>
          <w:szCs w:val="24"/>
        </w:rPr>
        <w:t xml:space="preserve">eliminarea supra-impozitării salariaților cu timp parțial de muncă </w:t>
      </w:r>
      <w:r w:rsidR="00D77650">
        <w:rPr>
          <w:sz w:val="24"/>
          <w:szCs w:val="24"/>
        </w:rPr>
        <w:t>conduce la</w:t>
      </w:r>
      <w:r w:rsidR="00D312D5">
        <w:rPr>
          <w:sz w:val="24"/>
          <w:szCs w:val="24"/>
        </w:rPr>
        <w:t xml:space="preserve"> un minus de încasări din contri</w:t>
      </w:r>
      <w:r w:rsidR="00D77650">
        <w:rPr>
          <w:sz w:val="24"/>
          <w:szCs w:val="24"/>
        </w:rPr>
        <w:t xml:space="preserve">buții de asigurări de </w:t>
      </w:r>
      <w:r w:rsidR="00AD0C95" w:rsidRPr="00AD0C95">
        <w:rPr>
          <w:sz w:val="24"/>
          <w:szCs w:val="24"/>
        </w:rPr>
        <w:t>1,56 mld. lei sau</w:t>
      </w:r>
      <w:r w:rsidR="00D77650">
        <w:rPr>
          <w:sz w:val="24"/>
          <w:szCs w:val="24"/>
        </w:rPr>
        <w:t xml:space="preserve"> 0,14 pp din PIB</w:t>
      </w:r>
      <w:r w:rsidR="00AD0C95" w:rsidRPr="00AD0C95">
        <w:rPr>
          <w:sz w:val="24"/>
          <w:szCs w:val="24"/>
        </w:rPr>
        <w:t xml:space="preserve">, </w:t>
      </w:r>
      <w:r w:rsidR="00D77650">
        <w:rPr>
          <w:sz w:val="24"/>
          <w:szCs w:val="24"/>
        </w:rPr>
        <w:t xml:space="preserve">în timp ce </w:t>
      </w:r>
      <w:r w:rsidR="00AD0C95" w:rsidRPr="00AD0C95">
        <w:rPr>
          <w:sz w:val="24"/>
          <w:szCs w:val="24"/>
        </w:rPr>
        <w:t>abrogarea unor prevederi din OUG nr. 114/2018 (</w:t>
      </w:r>
      <w:r w:rsidR="00D77650">
        <w:rPr>
          <w:sz w:val="24"/>
          <w:szCs w:val="24"/>
        </w:rPr>
        <w:t>eliminarea</w:t>
      </w:r>
      <w:r w:rsidR="00AD0C95" w:rsidRPr="00AD0C95">
        <w:rPr>
          <w:sz w:val="24"/>
          <w:szCs w:val="24"/>
        </w:rPr>
        <w:t xml:space="preserve"> taxei </w:t>
      </w:r>
      <w:r w:rsidR="00D77650">
        <w:rPr>
          <w:sz w:val="24"/>
          <w:szCs w:val="24"/>
        </w:rPr>
        <w:t>pe activele bancare și a impozitării</w:t>
      </w:r>
      <w:r w:rsidR="00AD0C95" w:rsidRPr="00AD0C95">
        <w:rPr>
          <w:sz w:val="24"/>
          <w:szCs w:val="24"/>
        </w:rPr>
        <w:t xml:space="preserve"> suplimentare a sectorului energetic</w:t>
      </w:r>
      <w:r w:rsidR="00D77650">
        <w:rPr>
          <w:sz w:val="24"/>
          <w:szCs w:val="24"/>
        </w:rPr>
        <w:t xml:space="preserve">) are un </w:t>
      </w:r>
      <w:r w:rsidR="00AD0C95" w:rsidRPr="00AD0C95">
        <w:rPr>
          <w:sz w:val="24"/>
          <w:szCs w:val="24"/>
        </w:rPr>
        <w:t xml:space="preserve">impact </w:t>
      </w:r>
      <w:r w:rsidR="004D2CB7">
        <w:rPr>
          <w:sz w:val="24"/>
          <w:szCs w:val="24"/>
        </w:rPr>
        <w:t xml:space="preserve">negativ </w:t>
      </w:r>
      <w:r w:rsidR="00AD0C95" w:rsidRPr="00AD0C95">
        <w:rPr>
          <w:sz w:val="24"/>
          <w:szCs w:val="24"/>
        </w:rPr>
        <w:t xml:space="preserve">estimat la </w:t>
      </w:r>
      <w:r w:rsidR="00D77650">
        <w:rPr>
          <w:sz w:val="24"/>
          <w:szCs w:val="24"/>
        </w:rPr>
        <w:t>0,1 – 0,15 pp din PIB</w:t>
      </w:r>
      <w:r w:rsidR="00AD0C95" w:rsidRPr="00AD0C95">
        <w:rPr>
          <w:sz w:val="24"/>
          <w:szCs w:val="24"/>
        </w:rPr>
        <w:t>. În sensul creșterii veniturilor bugetare a acționat o majorare suplimentară a accizei la</w:t>
      </w:r>
      <w:r w:rsidR="004D2CB7">
        <w:rPr>
          <w:sz w:val="24"/>
          <w:szCs w:val="24"/>
        </w:rPr>
        <w:t xml:space="preserve"> țigarete care este anticipată să genereze</w:t>
      </w:r>
      <w:r w:rsidR="00AD0C95" w:rsidRPr="00AD0C95">
        <w:rPr>
          <w:sz w:val="24"/>
          <w:szCs w:val="24"/>
        </w:rPr>
        <w:t xml:space="preserve"> un plus de încasări de circa 0,7 mld. lei. </w:t>
      </w:r>
      <w:r w:rsidR="00AD0C95" w:rsidRPr="005E3107">
        <w:rPr>
          <w:b/>
          <w:sz w:val="24"/>
          <w:szCs w:val="24"/>
        </w:rPr>
        <w:t>Cumulat, aceste măsuri conduc la venituri bugetare mai reduse cu circa 0,5 pp din PIB</w:t>
      </w:r>
      <w:r w:rsidR="005E3107" w:rsidRPr="005E3107">
        <w:rPr>
          <w:b/>
          <w:sz w:val="24"/>
          <w:szCs w:val="24"/>
        </w:rPr>
        <w:t xml:space="preserve"> și, </w:t>
      </w:r>
      <w:r w:rsidR="005E3107" w:rsidRPr="0015157A">
        <w:rPr>
          <w:b/>
          <w:i/>
          <w:iCs/>
          <w:sz w:val="24"/>
          <w:szCs w:val="24"/>
        </w:rPr>
        <w:t>ceteris paribus</w:t>
      </w:r>
      <w:r w:rsidR="005E3107" w:rsidRPr="005E3107">
        <w:rPr>
          <w:b/>
          <w:sz w:val="24"/>
          <w:szCs w:val="24"/>
        </w:rPr>
        <w:t xml:space="preserve">, </w:t>
      </w:r>
      <w:r w:rsidR="0015157A">
        <w:rPr>
          <w:b/>
          <w:sz w:val="24"/>
          <w:szCs w:val="24"/>
        </w:rPr>
        <w:t xml:space="preserve">la </w:t>
      </w:r>
      <w:r w:rsidR="005E3107" w:rsidRPr="005E3107">
        <w:rPr>
          <w:b/>
          <w:sz w:val="24"/>
          <w:szCs w:val="24"/>
        </w:rPr>
        <w:t>un nivel al deficitului bugetar pentru anul 2020 mai ridicat cu același cuantum.</w:t>
      </w:r>
      <w:r w:rsidR="005E3107">
        <w:rPr>
          <w:b/>
          <w:sz w:val="24"/>
          <w:szCs w:val="24"/>
        </w:rPr>
        <w:t xml:space="preserve"> </w:t>
      </w:r>
    </w:p>
    <w:p w14:paraId="3D59DFAC" w14:textId="560245EB" w:rsidR="006E744E" w:rsidRDefault="00054B65" w:rsidP="003B38CB">
      <w:pPr>
        <w:spacing w:after="200" w:line="276" w:lineRule="auto"/>
        <w:jc w:val="both"/>
        <w:rPr>
          <w:b/>
          <w:sz w:val="24"/>
          <w:szCs w:val="24"/>
        </w:rPr>
      </w:pPr>
      <w:r>
        <w:rPr>
          <w:sz w:val="24"/>
          <w:szCs w:val="24"/>
        </w:rPr>
        <w:t xml:space="preserve">Având în vedere cele expuse mai sus, deficitul bugetar potrivit ESA 2010 </w:t>
      </w:r>
      <w:r w:rsidR="009E5318">
        <w:rPr>
          <w:sz w:val="24"/>
          <w:szCs w:val="24"/>
        </w:rPr>
        <w:t xml:space="preserve">aferent anului 2020 (4,1%) </w:t>
      </w:r>
      <w:r>
        <w:rPr>
          <w:sz w:val="24"/>
          <w:szCs w:val="24"/>
        </w:rPr>
        <w:t xml:space="preserve">este mai ridicat cu 0,3 pp din PIB </w:t>
      </w:r>
      <w:r w:rsidR="009E5318">
        <w:rPr>
          <w:sz w:val="24"/>
          <w:szCs w:val="24"/>
        </w:rPr>
        <w:t xml:space="preserve">comparativ cu nivelul estimat pentru anul 2019 </w:t>
      </w:r>
      <w:r w:rsidR="00D31E0F">
        <w:rPr>
          <w:sz w:val="24"/>
          <w:szCs w:val="24"/>
        </w:rPr>
        <w:t xml:space="preserve">(3,8%) </w:t>
      </w:r>
      <w:r>
        <w:rPr>
          <w:sz w:val="24"/>
          <w:szCs w:val="24"/>
        </w:rPr>
        <w:t>încă din construcția bugetară</w:t>
      </w:r>
      <w:r w:rsidR="00D31E0F">
        <w:rPr>
          <w:sz w:val="24"/>
          <w:szCs w:val="24"/>
        </w:rPr>
        <w:t xml:space="preserve">, </w:t>
      </w:r>
      <w:r>
        <w:rPr>
          <w:sz w:val="24"/>
          <w:szCs w:val="24"/>
        </w:rPr>
        <w:t xml:space="preserve">în timp ce </w:t>
      </w:r>
      <w:r w:rsidR="00297917">
        <w:rPr>
          <w:sz w:val="24"/>
          <w:szCs w:val="24"/>
        </w:rPr>
        <w:t xml:space="preserve">reducerea </w:t>
      </w:r>
      <w:r>
        <w:rPr>
          <w:sz w:val="24"/>
          <w:szCs w:val="24"/>
        </w:rPr>
        <w:t xml:space="preserve">acestuia potrivit metodologiei </w:t>
      </w:r>
      <w:r w:rsidRPr="00297917">
        <w:rPr>
          <w:i/>
          <w:sz w:val="24"/>
          <w:szCs w:val="24"/>
        </w:rPr>
        <w:t xml:space="preserve">cash </w:t>
      </w:r>
      <w:r w:rsidR="00297917">
        <w:rPr>
          <w:sz w:val="24"/>
          <w:szCs w:val="24"/>
        </w:rPr>
        <w:t xml:space="preserve">este atribuibilă doar factorilor temporari/excepționali descriși mai sus, </w:t>
      </w:r>
      <w:r w:rsidR="00297917" w:rsidRPr="00297917">
        <w:rPr>
          <w:b/>
          <w:sz w:val="24"/>
          <w:szCs w:val="24"/>
        </w:rPr>
        <w:t>neput</w:t>
      </w:r>
      <w:r w:rsidR="00ED27A4">
        <w:rPr>
          <w:b/>
          <w:sz w:val="24"/>
          <w:szCs w:val="24"/>
        </w:rPr>
        <w:t>â</w:t>
      </w:r>
      <w:r w:rsidR="00297917" w:rsidRPr="00297917">
        <w:rPr>
          <w:b/>
          <w:sz w:val="24"/>
          <w:szCs w:val="24"/>
        </w:rPr>
        <w:t>nd fi vorba de o ajustare structurală a soldului BGC.</w:t>
      </w:r>
      <w:r w:rsidR="00ED27A4">
        <w:rPr>
          <w:b/>
          <w:sz w:val="24"/>
          <w:szCs w:val="24"/>
        </w:rPr>
        <w:t xml:space="preserve"> </w:t>
      </w:r>
    </w:p>
    <w:p w14:paraId="09A979C9" w14:textId="4F4D24DE" w:rsidR="00AD0C95" w:rsidRDefault="006E744E" w:rsidP="003B38CB">
      <w:pPr>
        <w:spacing w:after="200" w:line="276" w:lineRule="auto"/>
        <w:jc w:val="both"/>
        <w:rPr>
          <w:sz w:val="24"/>
          <w:szCs w:val="24"/>
        </w:rPr>
      </w:pPr>
      <w:r>
        <w:rPr>
          <w:b/>
          <w:sz w:val="24"/>
          <w:szCs w:val="24"/>
        </w:rPr>
        <w:t>P</w:t>
      </w:r>
      <w:r w:rsidR="00ED27A4">
        <w:rPr>
          <w:b/>
          <w:sz w:val="24"/>
          <w:szCs w:val="24"/>
        </w:rPr>
        <w:t>olitica fiscal-bugetară î</w:t>
      </w:r>
      <w:r w:rsidR="00C700E8">
        <w:rPr>
          <w:b/>
          <w:sz w:val="24"/>
          <w:szCs w:val="24"/>
        </w:rPr>
        <w:t>ș</w:t>
      </w:r>
      <w:r w:rsidR="00ED27A4">
        <w:rPr>
          <w:b/>
          <w:sz w:val="24"/>
          <w:szCs w:val="24"/>
        </w:rPr>
        <w:t>i menține caracterul expansionist, chiar</w:t>
      </w:r>
      <w:r w:rsidR="009E5318">
        <w:rPr>
          <w:b/>
          <w:sz w:val="24"/>
          <w:szCs w:val="24"/>
        </w:rPr>
        <w:t xml:space="preserve"> și în condițiile unui deficit</w:t>
      </w:r>
      <w:r w:rsidR="00ED27A4">
        <w:rPr>
          <w:b/>
          <w:sz w:val="24"/>
          <w:szCs w:val="24"/>
        </w:rPr>
        <w:t xml:space="preserve"> bugetar care a depășit pragul de 3% din PIB aferent brațului corectiv al Pactului de Stabilitate și Creștere</w:t>
      </w:r>
      <w:r w:rsidR="008D0404">
        <w:rPr>
          <w:b/>
          <w:sz w:val="24"/>
          <w:szCs w:val="24"/>
        </w:rPr>
        <w:t xml:space="preserve"> (PSC)</w:t>
      </w:r>
      <w:r w:rsidR="00ED27A4">
        <w:rPr>
          <w:b/>
          <w:sz w:val="24"/>
          <w:szCs w:val="24"/>
        </w:rPr>
        <w:t xml:space="preserve">. </w:t>
      </w:r>
      <w:r w:rsidR="00ED27A4" w:rsidRPr="00ED27A4">
        <w:rPr>
          <w:sz w:val="24"/>
          <w:szCs w:val="24"/>
        </w:rPr>
        <w:t>Ace</w:t>
      </w:r>
      <w:r w:rsidR="00D312D5">
        <w:rPr>
          <w:sz w:val="24"/>
          <w:szCs w:val="24"/>
        </w:rPr>
        <w:t>a</w:t>
      </w:r>
      <w:r w:rsidR="00ED27A4" w:rsidRPr="00ED27A4">
        <w:rPr>
          <w:sz w:val="24"/>
          <w:szCs w:val="24"/>
        </w:rPr>
        <w:t xml:space="preserve">stă </w:t>
      </w:r>
      <w:r>
        <w:rPr>
          <w:sz w:val="24"/>
          <w:szCs w:val="24"/>
        </w:rPr>
        <w:t>situ</w:t>
      </w:r>
      <w:r w:rsidR="005C08EF">
        <w:rPr>
          <w:sz w:val="24"/>
          <w:szCs w:val="24"/>
        </w:rPr>
        <w:t>ație</w:t>
      </w:r>
      <w:r w:rsidR="00ED27A4" w:rsidRPr="00ED27A4">
        <w:rPr>
          <w:sz w:val="24"/>
          <w:szCs w:val="24"/>
        </w:rPr>
        <w:t xml:space="preserve"> comportă mai multe aspecte problematice:</w:t>
      </w:r>
    </w:p>
    <w:p w14:paraId="6501FE4D" w14:textId="6C90F1F8" w:rsidR="00ED27A4" w:rsidRPr="008D0404" w:rsidRDefault="00ED27A4" w:rsidP="003B38CB">
      <w:pPr>
        <w:pStyle w:val="ListParagraph"/>
        <w:numPr>
          <w:ilvl w:val="0"/>
          <w:numId w:val="16"/>
        </w:numPr>
        <w:spacing w:after="200" w:line="276" w:lineRule="auto"/>
        <w:jc w:val="both"/>
        <w:rPr>
          <w:sz w:val="24"/>
          <w:szCs w:val="24"/>
        </w:rPr>
      </w:pPr>
      <w:r w:rsidRPr="008D0404">
        <w:rPr>
          <w:sz w:val="24"/>
          <w:szCs w:val="24"/>
        </w:rPr>
        <w:t xml:space="preserve">Rezultatul execuției bugetare aferente anului 2019 va indica </w:t>
      </w:r>
      <w:r w:rsidR="006E744E">
        <w:rPr>
          <w:sz w:val="24"/>
          <w:szCs w:val="24"/>
        </w:rPr>
        <w:t>foarte</w:t>
      </w:r>
      <w:r w:rsidRPr="008D0404">
        <w:rPr>
          <w:sz w:val="24"/>
          <w:szCs w:val="24"/>
        </w:rPr>
        <w:t xml:space="preserve"> probabil o plasare a deficitului bugetar </w:t>
      </w:r>
      <w:r w:rsidR="008D0404">
        <w:rPr>
          <w:sz w:val="24"/>
          <w:szCs w:val="24"/>
        </w:rPr>
        <w:t xml:space="preserve">potrivit ESA 2010 </w:t>
      </w:r>
      <w:r w:rsidR="008D0404" w:rsidRPr="008D0404">
        <w:rPr>
          <w:sz w:val="24"/>
          <w:szCs w:val="24"/>
        </w:rPr>
        <w:t>în jurul nivelului de 4%</w:t>
      </w:r>
      <w:r w:rsidR="008D0404">
        <w:rPr>
          <w:sz w:val="24"/>
          <w:szCs w:val="24"/>
        </w:rPr>
        <w:t>, ceea ce creea</w:t>
      </w:r>
      <w:r w:rsidR="009E5318">
        <w:rPr>
          <w:sz w:val="24"/>
          <w:szCs w:val="24"/>
        </w:rPr>
        <w:t>ză premi</w:t>
      </w:r>
      <w:r w:rsidR="005C08EF">
        <w:rPr>
          <w:sz w:val="24"/>
          <w:szCs w:val="24"/>
        </w:rPr>
        <w:t>s</w:t>
      </w:r>
      <w:r w:rsidR="009E5318">
        <w:rPr>
          <w:sz w:val="24"/>
          <w:szCs w:val="24"/>
        </w:rPr>
        <w:t>e pentru declanș</w:t>
      </w:r>
      <w:r w:rsidR="008D0404">
        <w:rPr>
          <w:sz w:val="24"/>
          <w:szCs w:val="24"/>
        </w:rPr>
        <w:t>area procedur</w:t>
      </w:r>
      <w:r w:rsidR="00347ACD">
        <w:rPr>
          <w:sz w:val="24"/>
          <w:szCs w:val="24"/>
        </w:rPr>
        <w:t>i</w:t>
      </w:r>
      <w:r w:rsidR="00D31E0F">
        <w:rPr>
          <w:sz w:val="24"/>
          <w:szCs w:val="24"/>
        </w:rPr>
        <w:t>i de deficit excesiv</w:t>
      </w:r>
      <w:r w:rsidR="008D0404">
        <w:rPr>
          <w:sz w:val="24"/>
          <w:szCs w:val="24"/>
        </w:rPr>
        <w:t>. Practic, bugetul pe anul 2020 nu răspunde necesității de a corecta acest derapaj</w:t>
      </w:r>
      <w:r w:rsidR="006E744E">
        <w:rPr>
          <w:sz w:val="24"/>
          <w:szCs w:val="24"/>
        </w:rPr>
        <w:t xml:space="preserve"> dac</w:t>
      </w:r>
      <w:r w:rsidR="009B6651">
        <w:rPr>
          <w:sz w:val="24"/>
          <w:szCs w:val="24"/>
        </w:rPr>
        <w:t>ă</w:t>
      </w:r>
      <w:r w:rsidR="006E744E">
        <w:rPr>
          <w:sz w:val="24"/>
          <w:szCs w:val="24"/>
        </w:rPr>
        <w:t xml:space="preserve"> avem </w:t>
      </w:r>
      <w:r w:rsidR="009B6651">
        <w:rPr>
          <w:sz w:val="24"/>
          <w:szCs w:val="24"/>
        </w:rPr>
        <w:t>î</w:t>
      </w:r>
      <w:r w:rsidR="006E744E">
        <w:rPr>
          <w:sz w:val="24"/>
          <w:szCs w:val="24"/>
        </w:rPr>
        <w:t xml:space="preserve">n vedere </w:t>
      </w:r>
      <w:r w:rsidR="008D0404">
        <w:rPr>
          <w:sz w:val="24"/>
          <w:szCs w:val="24"/>
        </w:rPr>
        <w:t xml:space="preserve">măsurile fiscal-bugetare cuprinse în proiectul de buget și măsurile legislative adoptate la scurt timp după legea bugetului. </w:t>
      </w:r>
      <w:r w:rsidR="008D0404" w:rsidRPr="008D0404">
        <w:rPr>
          <w:b/>
          <w:sz w:val="24"/>
          <w:szCs w:val="24"/>
        </w:rPr>
        <w:t xml:space="preserve">CF apreciază că nu </w:t>
      </w:r>
      <w:r w:rsidR="00D36B48">
        <w:rPr>
          <w:b/>
          <w:sz w:val="24"/>
          <w:szCs w:val="24"/>
        </w:rPr>
        <w:t>sunt</w:t>
      </w:r>
      <w:r w:rsidR="008D0404" w:rsidRPr="008D0404">
        <w:rPr>
          <w:b/>
          <w:sz w:val="24"/>
          <w:szCs w:val="24"/>
        </w:rPr>
        <w:t xml:space="preserve"> </w:t>
      </w:r>
      <w:r w:rsidR="00D36B48" w:rsidRPr="008D0404">
        <w:rPr>
          <w:b/>
          <w:sz w:val="24"/>
          <w:szCs w:val="24"/>
        </w:rPr>
        <w:t xml:space="preserve">suficiente </w:t>
      </w:r>
      <w:r w:rsidR="008D0404" w:rsidRPr="008D0404">
        <w:rPr>
          <w:b/>
          <w:sz w:val="24"/>
          <w:szCs w:val="24"/>
        </w:rPr>
        <w:t xml:space="preserve">măsuri pentru </w:t>
      </w:r>
      <w:r w:rsidR="00AF1190">
        <w:rPr>
          <w:b/>
          <w:sz w:val="24"/>
          <w:szCs w:val="24"/>
        </w:rPr>
        <w:t>contracararea</w:t>
      </w:r>
      <w:r w:rsidR="008D0404" w:rsidRPr="008D0404">
        <w:rPr>
          <w:b/>
          <w:sz w:val="24"/>
          <w:szCs w:val="24"/>
        </w:rPr>
        <w:t xml:space="preserve"> derapajului bugetar </w:t>
      </w:r>
      <w:r w:rsidR="009E5318">
        <w:rPr>
          <w:b/>
          <w:sz w:val="24"/>
          <w:szCs w:val="24"/>
        </w:rPr>
        <w:t>și</w:t>
      </w:r>
      <w:r w:rsidR="00B610B1">
        <w:rPr>
          <w:b/>
          <w:sz w:val="24"/>
          <w:szCs w:val="24"/>
        </w:rPr>
        <w:t>,</w:t>
      </w:r>
      <w:r w:rsidR="009E5318">
        <w:rPr>
          <w:b/>
          <w:sz w:val="24"/>
          <w:szCs w:val="24"/>
        </w:rPr>
        <w:t xml:space="preserve"> </w:t>
      </w:r>
      <w:r w:rsidR="008D0404" w:rsidRPr="008D0404">
        <w:rPr>
          <w:b/>
          <w:sz w:val="24"/>
          <w:szCs w:val="24"/>
        </w:rPr>
        <w:t>mai mult</w:t>
      </w:r>
      <w:r w:rsidR="00B610B1">
        <w:rPr>
          <w:b/>
          <w:sz w:val="24"/>
          <w:szCs w:val="24"/>
        </w:rPr>
        <w:t>,</w:t>
      </w:r>
      <w:r w:rsidR="008D0404" w:rsidRPr="008D0404">
        <w:rPr>
          <w:b/>
          <w:sz w:val="24"/>
          <w:szCs w:val="24"/>
        </w:rPr>
        <w:t xml:space="preserve"> acesta s</w:t>
      </w:r>
      <w:r w:rsidR="009E5318">
        <w:rPr>
          <w:b/>
          <w:sz w:val="24"/>
          <w:szCs w:val="24"/>
        </w:rPr>
        <w:t>e adâncește atât în anul 2020</w:t>
      </w:r>
      <w:r w:rsidR="0015157A">
        <w:rPr>
          <w:b/>
          <w:sz w:val="24"/>
          <w:szCs w:val="24"/>
        </w:rPr>
        <w:t>,</w:t>
      </w:r>
      <w:r w:rsidR="009E5318">
        <w:rPr>
          <w:b/>
          <w:sz w:val="24"/>
          <w:szCs w:val="24"/>
        </w:rPr>
        <w:t xml:space="preserve"> câ</w:t>
      </w:r>
      <w:r w:rsidR="008D0404" w:rsidRPr="008D0404">
        <w:rPr>
          <w:b/>
          <w:sz w:val="24"/>
          <w:szCs w:val="24"/>
        </w:rPr>
        <w:t>t și pe termen mediu</w:t>
      </w:r>
      <w:r w:rsidR="00B610B1">
        <w:rPr>
          <w:b/>
          <w:sz w:val="24"/>
          <w:szCs w:val="24"/>
        </w:rPr>
        <w:t xml:space="preserve"> </w:t>
      </w:r>
      <w:r w:rsidR="00E1682E">
        <w:rPr>
          <w:b/>
          <w:sz w:val="24"/>
          <w:szCs w:val="24"/>
        </w:rPr>
        <w:t>î</w:t>
      </w:r>
      <w:r w:rsidR="00B610B1">
        <w:rPr>
          <w:b/>
          <w:sz w:val="24"/>
          <w:szCs w:val="24"/>
        </w:rPr>
        <w:t>n condi</w:t>
      </w:r>
      <w:r w:rsidR="00D36B48">
        <w:rPr>
          <w:b/>
          <w:sz w:val="24"/>
          <w:szCs w:val="24"/>
        </w:rPr>
        <w:t>ț</w:t>
      </w:r>
      <w:r w:rsidR="00B610B1">
        <w:rPr>
          <w:b/>
          <w:sz w:val="24"/>
          <w:szCs w:val="24"/>
        </w:rPr>
        <w:t>iile date</w:t>
      </w:r>
      <w:r w:rsidR="002B6F66">
        <w:rPr>
          <w:b/>
          <w:sz w:val="24"/>
          <w:szCs w:val="24"/>
        </w:rPr>
        <w:t>;</w:t>
      </w:r>
    </w:p>
    <w:p w14:paraId="4803AC5D" w14:textId="47196029" w:rsidR="00B610B1" w:rsidRPr="00267CF4" w:rsidRDefault="00B610B1" w:rsidP="003B38CB">
      <w:pPr>
        <w:pStyle w:val="ListParagraph"/>
        <w:numPr>
          <w:ilvl w:val="0"/>
          <w:numId w:val="16"/>
        </w:numPr>
        <w:spacing w:after="200" w:line="276" w:lineRule="auto"/>
        <w:jc w:val="both"/>
        <w:rPr>
          <w:sz w:val="24"/>
          <w:szCs w:val="24"/>
          <w:u w:val="single"/>
        </w:rPr>
      </w:pPr>
      <w:r>
        <w:rPr>
          <w:sz w:val="24"/>
          <w:szCs w:val="24"/>
        </w:rPr>
        <w:t>A</w:t>
      </w:r>
      <w:r w:rsidRPr="00B610B1">
        <w:rPr>
          <w:sz w:val="24"/>
          <w:szCs w:val="24"/>
        </w:rPr>
        <w:t>semenea niveluri înalte ale deficitului bugetar</w:t>
      </w:r>
      <w:r>
        <w:rPr>
          <w:sz w:val="24"/>
          <w:szCs w:val="24"/>
        </w:rPr>
        <w:t xml:space="preserve"> admi</w:t>
      </w:r>
      <w:r w:rsidR="005C08EF">
        <w:rPr>
          <w:sz w:val="24"/>
          <w:szCs w:val="24"/>
        </w:rPr>
        <w:t>țâ</w:t>
      </w:r>
      <w:r>
        <w:rPr>
          <w:sz w:val="24"/>
          <w:szCs w:val="24"/>
        </w:rPr>
        <w:t>nd c</w:t>
      </w:r>
      <w:r w:rsidR="005C08EF">
        <w:rPr>
          <w:sz w:val="24"/>
          <w:szCs w:val="24"/>
        </w:rPr>
        <w:t>ă</w:t>
      </w:r>
      <w:r>
        <w:rPr>
          <w:sz w:val="24"/>
          <w:szCs w:val="24"/>
        </w:rPr>
        <w:t xml:space="preserve"> ar fi tolerate de pie</w:t>
      </w:r>
      <w:r w:rsidR="005C08EF">
        <w:rPr>
          <w:sz w:val="24"/>
          <w:szCs w:val="24"/>
        </w:rPr>
        <w:t>ț</w:t>
      </w:r>
      <w:r>
        <w:rPr>
          <w:sz w:val="24"/>
          <w:szCs w:val="24"/>
        </w:rPr>
        <w:t>ele financiare (c</w:t>
      </w:r>
      <w:r w:rsidR="005C08EF">
        <w:rPr>
          <w:sz w:val="24"/>
          <w:szCs w:val="24"/>
        </w:rPr>
        <w:t>e</w:t>
      </w:r>
      <w:r>
        <w:rPr>
          <w:sz w:val="24"/>
          <w:szCs w:val="24"/>
        </w:rPr>
        <w:t>ea ce este o ipotez</w:t>
      </w:r>
      <w:r w:rsidR="005C08EF">
        <w:rPr>
          <w:sz w:val="24"/>
          <w:szCs w:val="24"/>
        </w:rPr>
        <w:t>ă</w:t>
      </w:r>
      <w:r>
        <w:rPr>
          <w:sz w:val="24"/>
          <w:szCs w:val="24"/>
        </w:rPr>
        <w:t xml:space="preserve"> „eroic</w:t>
      </w:r>
      <w:r w:rsidR="00E1682E">
        <w:rPr>
          <w:sz w:val="24"/>
          <w:szCs w:val="24"/>
        </w:rPr>
        <w:t>ă</w:t>
      </w:r>
      <w:r>
        <w:rPr>
          <w:sz w:val="24"/>
          <w:szCs w:val="24"/>
        </w:rPr>
        <w:t>”)</w:t>
      </w:r>
      <w:r w:rsidRPr="00B610B1">
        <w:rPr>
          <w:sz w:val="24"/>
          <w:szCs w:val="24"/>
        </w:rPr>
        <w:t xml:space="preserve"> conduc la acumularea de datorie publică și la vu</w:t>
      </w:r>
      <w:r>
        <w:rPr>
          <w:sz w:val="24"/>
          <w:szCs w:val="24"/>
        </w:rPr>
        <w:t>lnerabilizarea masivă a st</w:t>
      </w:r>
      <w:r w:rsidR="00E1682E">
        <w:rPr>
          <w:sz w:val="24"/>
          <w:szCs w:val="24"/>
        </w:rPr>
        <w:t>ă</w:t>
      </w:r>
      <w:r>
        <w:rPr>
          <w:sz w:val="24"/>
          <w:szCs w:val="24"/>
        </w:rPr>
        <w:t>rii</w:t>
      </w:r>
      <w:r w:rsidRPr="00B610B1">
        <w:rPr>
          <w:sz w:val="24"/>
          <w:szCs w:val="24"/>
        </w:rPr>
        <w:t xml:space="preserve"> finanțelor publice, spațiul fiscal fiind practic epuizat</w:t>
      </w:r>
      <w:r>
        <w:rPr>
          <w:sz w:val="24"/>
          <w:szCs w:val="24"/>
        </w:rPr>
        <w:t>. Aceasta ar</w:t>
      </w:r>
      <w:r w:rsidRPr="00B610B1">
        <w:rPr>
          <w:sz w:val="24"/>
          <w:szCs w:val="24"/>
        </w:rPr>
        <w:t xml:space="preserve"> conduce la imposibilitatea de a </w:t>
      </w:r>
      <w:r>
        <w:rPr>
          <w:sz w:val="24"/>
          <w:szCs w:val="24"/>
        </w:rPr>
        <w:t>utiliza p</w:t>
      </w:r>
      <w:r w:rsidR="005C08EF">
        <w:rPr>
          <w:sz w:val="24"/>
          <w:szCs w:val="24"/>
        </w:rPr>
        <w:t>â</w:t>
      </w:r>
      <w:r>
        <w:rPr>
          <w:sz w:val="24"/>
          <w:szCs w:val="24"/>
        </w:rPr>
        <w:t>rghia fiscal</w:t>
      </w:r>
      <w:r w:rsidR="002B6F66">
        <w:rPr>
          <w:sz w:val="24"/>
          <w:szCs w:val="24"/>
        </w:rPr>
        <w:t>-</w:t>
      </w:r>
      <w:r>
        <w:rPr>
          <w:sz w:val="24"/>
          <w:szCs w:val="24"/>
        </w:rPr>
        <w:t>bugetar</w:t>
      </w:r>
      <w:r w:rsidR="00D36B48">
        <w:rPr>
          <w:sz w:val="24"/>
          <w:szCs w:val="24"/>
        </w:rPr>
        <w:t>ă</w:t>
      </w:r>
      <w:r w:rsidRPr="00B610B1">
        <w:rPr>
          <w:sz w:val="24"/>
          <w:szCs w:val="24"/>
        </w:rPr>
        <w:t xml:space="preserve"> </w:t>
      </w:r>
      <w:r w:rsidR="00D36B48">
        <w:rPr>
          <w:sz w:val="24"/>
          <w:szCs w:val="24"/>
        </w:rPr>
        <w:t>î</w:t>
      </w:r>
      <w:r>
        <w:rPr>
          <w:sz w:val="24"/>
          <w:szCs w:val="24"/>
        </w:rPr>
        <w:t xml:space="preserve">n </w:t>
      </w:r>
      <w:r w:rsidRPr="00B610B1">
        <w:rPr>
          <w:sz w:val="24"/>
          <w:szCs w:val="24"/>
        </w:rPr>
        <w:t xml:space="preserve">faza de recesiune a ciclului economic și mai mult, </w:t>
      </w:r>
      <w:r>
        <w:rPr>
          <w:sz w:val="24"/>
          <w:szCs w:val="24"/>
        </w:rPr>
        <w:t>foarte</w:t>
      </w:r>
      <w:r w:rsidRPr="00B610B1">
        <w:rPr>
          <w:sz w:val="24"/>
          <w:szCs w:val="24"/>
        </w:rPr>
        <w:t xml:space="preserve"> probabil, va impune corecții </w:t>
      </w:r>
      <w:r>
        <w:rPr>
          <w:sz w:val="24"/>
          <w:szCs w:val="24"/>
        </w:rPr>
        <w:t>fiscale</w:t>
      </w:r>
      <w:r w:rsidRPr="00B610B1">
        <w:rPr>
          <w:sz w:val="24"/>
          <w:szCs w:val="24"/>
        </w:rPr>
        <w:t xml:space="preserve"> contribuind la menținerea caracterului pro-ciclic al politicii fiscal-bugetare. </w:t>
      </w:r>
      <w:r>
        <w:rPr>
          <w:sz w:val="24"/>
          <w:szCs w:val="24"/>
        </w:rPr>
        <w:t>B</w:t>
      </w:r>
      <w:r w:rsidRPr="00B610B1">
        <w:rPr>
          <w:sz w:val="24"/>
          <w:szCs w:val="24"/>
        </w:rPr>
        <w:t xml:space="preserve">eneficiile generate de aplicarea nenecesară de stimuli fiscali în faza de expansiune rapidă a economiei vor fi depășite de costurile economice și sociale asociate unei eventuale retrageri a acestora în perioada de recesiune. </w:t>
      </w:r>
      <w:r w:rsidRPr="00267CF4">
        <w:rPr>
          <w:sz w:val="24"/>
          <w:szCs w:val="24"/>
          <w:u w:val="single"/>
        </w:rPr>
        <w:t xml:space="preserve">Este de subliniat că, în țările care nu emit monedă de rezervă, </w:t>
      </w:r>
      <w:r w:rsidRPr="00267CF4">
        <w:rPr>
          <w:sz w:val="24"/>
          <w:szCs w:val="24"/>
          <w:u w:val="single"/>
        </w:rPr>
        <w:lastRenderedPageBreak/>
        <w:t>activismul fiscal nu poate fi susținut p</w:t>
      </w:r>
      <w:r>
        <w:rPr>
          <w:sz w:val="24"/>
          <w:szCs w:val="24"/>
          <w:u w:val="single"/>
        </w:rPr>
        <w:t>entru perioade mai îndelungate, sau c</w:t>
      </w:r>
      <w:r w:rsidR="00E1682E">
        <w:rPr>
          <w:sz w:val="24"/>
          <w:szCs w:val="24"/>
          <w:u w:val="single"/>
        </w:rPr>
        <w:t>â</w:t>
      </w:r>
      <w:r>
        <w:rPr>
          <w:sz w:val="24"/>
          <w:szCs w:val="24"/>
          <w:u w:val="single"/>
        </w:rPr>
        <w:t xml:space="preserve">nd deficitele interne </w:t>
      </w:r>
      <w:r w:rsidR="00D36B48">
        <w:rPr>
          <w:sz w:val="24"/>
          <w:szCs w:val="24"/>
          <w:u w:val="single"/>
        </w:rPr>
        <w:t>și</w:t>
      </w:r>
      <w:r>
        <w:rPr>
          <w:sz w:val="24"/>
          <w:szCs w:val="24"/>
          <w:u w:val="single"/>
        </w:rPr>
        <w:t xml:space="preserve"> externe sunt mari (cum este cazul Rom</w:t>
      </w:r>
      <w:r w:rsidR="00E1682E">
        <w:rPr>
          <w:sz w:val="24"/>
          <w:szCs w:val="24"/>
          <w:u w:val="single"/>
        </w:rPr>
        <w:t>â</w:t>
      </w:r>
      <w:r>
        <w:rPr>
          <w:sz w:val="24"/>
          <w:szCs w:val="24"/>
          <w:u w:val="single"/>
        </w:rPr>
        <w:t>niei)</w:t>
      </w:r>
      <w:r w:rsidR="002B6F66">
        <w:rPr>
          <w:sz w:val="24"/>
          <w:szCs w:val="24"/>
          <w:u w:val="single"/>
        </w:rPr>
        <w:t>;</w:t>
      </w:r>
    </w:p>
    <w:p w14:paraId="4FF8409A" w14:textId="760F85E3" w:rsidR="00B610B1" w:rsidRPr="00B610B1" w:rsidRDefault="00B610B1" w:rsidP="003B38CB">
      <w:pPr>
        <w:pStyle w:val="ListParagraph"/>
        <w:numPr>
          <w:ilvl w:val="0"/>
          <w:numId w:val="16"/>
        </w:numPr>
        <w:spacing w:after="200" w:line="276" w:lineRule="auto"/>
        <w:jc w:val="both"/>
        <w:rPr>
          <w:sz w:val="24"/>
          <w:szCs w:val="24"/>
        </w:rPr>
      </w:pPr>
      <w:r w:rsidRPr="00B610B1">
        <w:rPr>
          <w:sz w:val="24"/>
          <w:szCs w:val="24"/>
        </w:rPr>
        <w:t xml:space="preserve">Mai mult, practicarea unor niveluri înalte ale deficitului bugetar coroborate cu o datorie publică </w:t>
      </w:r>
      <w:r w:rsidR="00173181">
        <w:rPr>
          <w:sz w:val="24"/>
          <w:szCs w:val="24"/>
        </w:rPr>
        <w:t>care nu mai poate fi considerată drept redusă</w:t>
      </w:r>
      <w:r w:rsidR="00AF1190">
        <w:rPr>
          <w:sz w:val="24"/>
          <w:szCs w:val="24"/>
        </w:rPr>
        <w:t>, conduce</w:t>
      </w:r>
      <w:r w:rsidRPr="00B610B1">
        <w:rPr>
          <w:sz w:val="24"/>
          <w:szCs w:val="24"/>
        </w:rPr>
        <w:t xml:space="preserve"> la creșterea probabilității de apariție a un</w:t>
      </w:r>
      <w:r w:rsidR="00173181">
        <w:rPr>
          <w:sz w:val="24"/>
          <w:szCs w:val="24"/>
        </w:rPr>
        <w:t>ui</w:t>
      </w:r>
      <w:r w:rsidRPr="00B610B1">
        <w:rPr>
          <w:sz w:val="24"/>
          <w:szCs w:val="24"/>
        </w:rPr>
        <w:t xml:space="preserve"> </w:t>
      </w:r>
      <w:r w:rsidR="00173181">
        <w:rPr>
          <w:sz w:val="24"/>
          <w:szCs w:val="24"/>
        </w:rPr>
        <w:t>impas bugetar,</w:t>
      </w:r>
      <w:r w:rsidRPr="00B610B1">
        <w:rPr>
          <w:sz w:val="24"/>
          <w:szCs w:val="24"/>
        </w:rPr>
        <w:t xml:space="preserve"> cu ramificații multiple </w:t>
      </w:r>
      <w:r w:rsidR="00173181">
        <w:rPr>
          <w:sz w:val="24"/>
          <w:szCs w:val="24"/>
        </w:rPr>
        <w:t xml:space="preserve">asupra situației </w:t>
      </w:r>
      <w:r w:rsidRPr="00B610B1">
        <w:rPr>
          <w:sz w:val="24"/>
          <w:szCs w:val="24"/>
        </w:rPr>
        <w:t>macroeconomic</w:t>
      </w:r>
      <w:r w:rsidR="00173181">
        <w:rPr>
          <w:sz w:val="24"/>
          <w:szCs w:val="24"/>
        </w:rPr>
        <w:t>e și costurilor de finanțare</w:t>
      </w:r>
      <w:r w:rsidRPr="00B610B1">
        <w:rPr>
          <w:sz w:val="24"/>
          <w:szCs w:val="24"/>
        </w:rPr>
        <w:t>. Factori</w:t>
      </w:r>
      <w:r w:rsidR="00173181">
        <w:rPr>
          <w:sz w:val="24"/>
          <w:szCs w:val="24"/>
        </w:rPr>
        <w:t xml:space="preserve"> de </w:t>
      </w:r>
      <w:r w:rsidRPr="00B610B1">
        <w:rPr>
          <w:sz w:val="24"/>
          <w:szCs w:val="24"/>
        </w:rPr>
        <w:t>amplificare</w:t>
      </w:r>
      <w:r w:rsidR="00173181">
        <w:rPr>
          <w:sz w:val="24"/>
          <w:szCs w:val="24"/>
        </w:rPr>
        <w:t xml:space="preserve"> </w:t>
      </w:r>
      <w:r w:rsidRPr="00B610B1">
        <w:rPr>
          <w:sz w:val="24"/>
          <w:szCs w:val="24"/>
        </w:rPr>
        <w:t xml:space="preserve">a acestui risc sunt nivelul deficitului de cont curent (singular în regiune </w:t>
      </w:r>
      <w:r w:rsidR="00173181">
        <w:rPr>
          <w:sz w:val="24"/>
          <w:szCs w:val="24"/>
        </w:rPr>
        <w:t xml:space="preserve">ca mărime </w:t>
      </w:r>
      <w:r w:rsidRPr="00B610B1">
        <w:rPr>
          <w:sz w:val="24"/>
          <w:szCs w:val="24"/>
        </w:rPr>
        <w:t xml:space="preserve">și cu o structură a finanțării în deteriorare) și perspectiva modificării rating-ului suveran în lipsa unor măsuri </w:t>
      </w:r>
      <w:r w:rsidR="002F5B20" w:rsidRPr="00B610B1">
        <w:rPr>
          <w:sz w:val="24"/>
          <w:szCs w:val="24"/>
        </w:rPr>
        <w:t xml:space="preserve">de </w:t>
      </w:r>
      <w:r w:rsidR="002F5B20">
        <w:rPr>
          <w:sz w:val="24"/>
          <w:szCs w:val="24"/>
        </w:rPr>
        <w:t xml:space="preserve">corecție </w:t>
      </w:r>
      <w:r w:rsidRPr="00B610B1">
        <w:rPr>
          <w:sz w:val="24"/>
          <w:szCs w:val="24"/>
        </w:rPr>
        <w:t xml:space="preserve">considerate adecvate </w:t>
      </w:r>
      <w:r w:rsidR="00D82E3A">
        <w:rPr>
          <w:sz w:val="24"/>
          <w:szCs w:val="24"/>
        </w:rPr>
        <w:t xml:space="preserve">și la timp de </w:t>
      </w:r>
      <w:r w:rsidRPr="00B610B1">
        <w:rPr>
          <w:sz w:val="24"/>
          <w:szCs w:val="24"/>
        </w:rPr>
        <w:t xml:space="preserve">către </w:t>
      </w:r>
      <w:r w:rsidR="00D82E3A">
        <w:rPr>
          <w:sz w:val="24"/>
          <w:szCs w:val="24"/>
        </w:rPr>
        <w:t>agențiile de profil</w:t>
      </w:r>
      <w:r w:rsidR="002B6F66">
        <w:rPr>
          <w:sz w:val="24"/>
          <w:szCs w:val="24"/>
        </w:rPr>
        <w:t>;</w:t>
      </w:r>
    </w:p>
    <w:p w14:paraId="539F0DC1" w14:textId="0FDF9A8C" w:rsidR="00347ACD" w:rsidRDefault="008D0404" w:rsidP="003B38CB">
      <w:pPr>
        <w:pStyle w:val="ListParagraph"/>
        <w:numPr>
          <w:ilvl w:val="0"/>
          <w:numId w:val="16"/>
        </w:numPr>
        <w:spacing w:after="200" w:line="276" w:lineRule="auto"/>
        <w:jc w:val="both"/>
        <w:rPr>
          <w:sz w:val="24"/>
          <w:szCs w:val="24"/>
        </w:rPr>
      </w:pPr>
      <w:r>
        <w:rPr>
          <w:sz w:val="24"/>
          <w:szCs w:val="24"/>
        </w:rPr>
        <w:t xml:space="preserve">O astfel de </w:t>
      </w:r>
      <w:r w:rsidR="00AF1190">
        <w:rPr>
          <w:sz w:val="24"/>
          <w:szCs w:val="24"/>
        </w:rPr>
        <w:t>situa</w:t>
      </w:r>
      <w:r w:rsidR="00E1682E">
        <w:rPr>
          <w:sz w:val="24"/>
          <w:szCs w:val="24"/>
        </w:rPr>
        <w:t>ț</w:t>
      </w:r>
      <w:r w:rsidR="00AF1190">
        <w:rPr>
          <w:sz w:val="24"/>
          <w:szCs w:val="24"/>
        </w:rPr>
        <w:t>ie</w:t>
      </w:r>
      <w:r>
        <w:rPr>
          <w:sz w:val="24"/>
          <w:szCs w:val="24"/>
        </w:rPr>
        <w:t xml:space="preserve"> este în contradicție cu regulile fiscale statuate la nivel european</w:t>
      </w:r>
      <w:r w:rsidR="00D82E3A">
        <w:rPr>
          <w:sz w:val="24"/>
          <w:szCs w:val="24"/>
        </w:rPr>
        <w:t xml:space="preserve"> </w:t>
      </w:r>
      <w:r>
        <w:rPr>
          <w:sz w:val="24"/>
          <w:szCs w:val="24"/>
        </w:rPr>
        <w:t xml:space="preserve">și </w:t>
      </w:r>
      <w:r w:rsidR="00AF1190">
        <w:rPr>
          <w:sz w:val="24"/>
          <w:szCs w:val="24"/>
        </w:rPr>
        <w:t xml:space="preserve">la nivel </w:t>
      </w:r>
      <w:r>
        <w:rPr>
          <w:sz w:val="24"/>
          <w:szCs w:val="24"/>
        </w:rPr>
        <w:t>național</w:t>
      </w:r>
      <w:r w:rsidR="00AF1190">
        <w:rPr>
          <w:sz w:val="24"/>
          <w:szCs w:val="24"/>
        </w:rPr>
        <w:t>;</w:t>
      </w:r>
      <w:r>
        <w:rPr>
          <w:sz w:val="24"/>
          <w:szCs w:val="24"/>
        </w:rPr>
        <w:t xml:space="preserve"> </w:t>
      </w:r>
      <w:r w:rsidR="00AF1190">
        <w:rPr>
          <w:sz w:val="24"/>
          <w:szCs w:val="24"/>
        </w:rPr>
        <w:t xml:space="preserve">acum </w:t>
      </w:r>
      <w:r>
        <w:rPr>
          <w:sz w:val="24"/>
          <w:szCs w:val="24"/>
        </w:rPr>
        <w:t xml:space="preserve">abaterile nu sunt localizate doar la nivelul brațului preventiv al PSC, ci și la </w:t>
      </w:r>
      <w:r w:rsidR="009E5318">
        <w:rPr>
          <w:sz w:val="24"/>
          <w:szCs w:val="24"/>
        </w:rPr>
        <w:t xml:space="preserve">nivelul </w:t>
      </w:r>
      <w:r>
        <w:rPr>
          <w:sz w:val="24"/>
          <w:szCs w:val="24"/>
        </w:rPr>
        <w:t>cel</w:t>
      </w:r>
      <w:r w:rsidR="009E5318">
        <w:rPr>
          <w:sz w:val="24"/>
          <w:szCs w:val="24"/>
        </w:rPr>
        <w:t>ui</w:t>
      </w:r>
      <w:r>
        <w:rPr>
          <w:sz w:val="24"/>
          <w:szCs w:val="24"/>
        </w:rPr>
        <w:t xml:space="preserve"> corectiv al acestuia. </w:t>
      </w:r>
      <w:r w:rsidRPr="009E5318">
        <w:rPr>
          <w:b/>
          <w:sz w:val="24"/>
          <w:szCs w:val="24"/>
        </w:rPr>
        <w:t xml:space="preserve">Dacă, în ultimii ani, singurul reper </w:t>
      </w:r>
      <w:r w:rsidR="00347ACD" w:rsidRPr="009E5318">
        <w:rPr>
          <w:b/>
          <w:sz w:val="24"/>
          <w:szCs w:val="24"/>
        </w:rPr>
        <w:t xml:space="preserve">funcțional din </w:t>
      </w:r>
      <w:r w:rsidRPr="009E5318">
        <w:rPr>
          <w:b/>
          <w:sz w:val="24"/>
          <w:szCs w:val="24"/>
        </w:rPr>
        <w:t xml:space="preserve">perspectiva regulilor fiscale </w:t>
      </w:r>
      <w:r w:rsidR="00347ACD" w:rsidRPr="009E5318">
        <w:rPr>
          <w:b/>
          <w:sz w:val="24"/>
          <w:szCs w:val="24"/>
        </w:rPr>
        <w:t xml:space="preserve">naționale și/sau europene </w:t>
      </w:r>
      <w:r w:rsidRPr="009E5318">
        <w:rPr>
          <w:b/>
          <w:sz w:val="24"/>
          <w:szCs w:val="24"/>
        </w:rPr>
        <w:t>a fost</w:t>
      </w:r>
      <w:r w:rsidR="00347ACD" w:rsidRPr="009E5318">
        <w:rPr>
          <w:b/>
          <w:sz w:val="24"/>
          <w:szCs w:val="24"/>
        </w:rPr>
        <w:t xml:space="preserve"> reprezentat de pragul de 3% din PIB pentru deficitul bugetar efectiv, în prezent și acesta este depășit, iar direcția este de majorare a deviație</w:t>
      </w:r>
      <w:r w:rsidR="004E3F1A">
        <w:rPr>
          <w:b/>
          <w:sz w:val="24"/>
          <w:szCs w:val="24"/>
        </w:rPr>
        <w:t>i</w:t>
      </w:r>
      <w:r w:rsidR="00347ACD" w:rsidRPr="009E5318">
        <w:rPr>
          <w:b/>
          <w:sz w:val="24"/>
          <w:szCs w:val="24"/>
        </w:rPr>
        <w:t>.</w:t>
      </w:r>
      <w:r w:rsidR="00D31E0F">
        <w:rPr>
          <w:b/>
          <w:sz w:val="24"/>
          <w:szCs w:val="24"/>
        </w:rPr>
        <w:t xml:space="preserve"> </w:t>
      </w:r>
      <w:r w:rsidR="00D31E0F">
        <w:rPr>
          <w:sz w:val="24"/>
          <w:szCs w:val="24"/>
        </w:rPr>
        <w:t xml:space="preserve">Recomandărilor anterioare ale CE, formulate în cadrul Procedurii de deviație semnificativă de la obiectivul pe termen mediu, ca urmare a încălcării de către România a prevederilor brațului </w:t>
      </w:r>
      <w:r w:rsidR="00E7473D">
        <w:rPr>
          <w:sz w:val="24"/>
          <w:szCs w:val="24"/>
        </w:rPr>
        <w:t>preventiv</w:t>
      </w:r>
      <w:r w:rsidR="00D31E0F">
        <w:rPr>
          <w:sz w:val="24"/>
          <w:szCs w:val="24"/>
        </w:rPr>
        <w:t xml:space="preserve"> al PSC, respectiv reducerea deficitului structural cu 1 pp în anul 2019 și 0,75 pp în anul 2020, nu le-a fost dat curs de autoritățile române.</w:t>
      </w:r>
    </w:p>
    <w:p w14:paraId="2F914620" w14:textId="5DF7328C" w:rsidR="006D6939" w:rsidRDefault="006D6939" w:rsidP="003B38CB">
      <w:pPr>
        <w:spacing w:after="200" w:line="276" w:lineRule="auto"/>
        <w:jc w:val="both"/>
        <w:rPr>
          <w:sz w:val="24"/>
          <w:szCs w:val="24"/>
        </w:rPr>
      </w:pPr>
      <w:r>
        <w:rPr>
          <w:sz w:val="24"/>
          <w:szCs w:val="24"/>
        </w:rPr>
        <w:t>P</w:t>
      </w:r>
      <w:r w:rsidR="00C22118">
        <w:rPr>
          <w:sz w:val="24"/>
          <w:szCs w:val="24"/>
        </w:rPr>
        <w:t>otrivit estimărilor, România avea în anul 2019 cel mai ridicat nivel al deficitului bugetar din UE, atât efectiv cât și structural, și mai mult, deteriorarea soldului bugetar în perioada 2015-2019 a fost de departe cea mai accentuată din UE (</w:t>
      </w:r>
      <w:r w:rsidR="00C22118" w:rsidRPr="002924A1">
        <w:rPr>
          <w:sz w:val="24"/>
          <w:szCs w:val="24"/>
        </w:rPr>
        <w:t xml:space="preserve">vezi graficele din </w:t>
      </w:r>
      <w:r w:rsidR="00C22118" w:rsidRPr="002924A1">
        <w:rPr>
          <w:i/>
          <w:iCs/>
          <w:color w:val="0070C0"/>
          <w:sz w:val="24"/>
          <w:szCs w:val="24"/>
        </w:rPr>
        <w:t>Anex</w:t>
      </w:r>
      <w:r w:rsidR="002924A1" w:rsidRPr="002924A1">
        <w:rPr>
          <w:i/>
          <w:iCs/>
          <w:color w:val="0070C0"/>
          <w:sz w:val="24"/>
          <w:szCs w:val="24"/>
        </w:rPr>
        <w:t>a 1</w:t>
      </w:r>
      <w:r w:rsidR="00C22118">
        <w:rPr>
          <w:sz w:val="24"/>
          <w:szCs w:val="24"/>
        </w:rPr>
        <w:t xml:space="preserve">). </w:t>
      </w:r>
      <w:r w:rsidR="00923962">
        <w:rPr>
          <w:sz w:val="24"/>
          <w:szCs w:val="24"/>
        </w:rPr>
        <w:t>Î</w:t>
      </w:r>
      <w:r w:rsidR="00C22118">
        <w:rPr>
          <w:sz w:val="24"/>
          <w:szCs w:val="24"/>
        </w:rPr>
        <w:t xml:space="preserve">n această perioadă, la nivelul UE </w:t>
      </w:r>
      <w:r w:rsidR="0026389C">
        <w:rPr>
          <w:sz w:val="24"/>
          <w:szCs w:val="24"/>
        </w:rPr>
        <w:t>toate</w:t>
      </w:r>
      <w:r w:rsidR="004E3F1A" w:rsidRPr="004E3F1A">
        <w:rPr>
          <w:sz w:val="24"/>
          <w:szCs w:val="24"/>
        </w:rPr>
        <w:t xml:space="preserve"> </w:t>
      </w:r>
      <w:r w:rsidR="004E3F1A">
        <w:rPr>
          <w:sz w:val="24"/>
          <w:szCs w:val="24"/>
        </w:rPr>
        <w:t>țările</w:t>
      </w:r>
      <w:r w:rsidR="00C22118">
        <w:rPr>
          <w:rStyle w:val="FootnoteReference"/>
          <w:sz w:val="24"/>
          <w:szCs w:val="24"/>
        </w:rPr>
        <w:footnoteReference w:id="2"/>
      </w:r>
      <w:r w:rsidR="0026389C">
        <w:rPr>
          <w:sz w:val="24"/>
          <w:szCs w:val="24"/>
        </w:rPr>
        <w:t xml:space="preserve"> </w:t>
      </w:r>
      <w:r w:rsidR="00C22118">
        <w:rPr>
          <w:sz w:val="24"/>
          <w:szCs w:val="24"/>
        </w:rPr>
        <w:t>și-au îmbunătățit soldul bugetar, România fiind pe contrasensul politicilor fiscal-buget</w:t>
      </w:r>
      <w:r w:rsidR="007E4B05">
        <w:rPr>
          <w:sz w:val="24"/>
          <w:szCs w:val="24"/>
        </w:rPr>
        <w:t>are la nivel european</w:t>
      </w:r>
      <w:r w:rsidR="00CE76D1" w:rsidRPr="00CE76D1">
        <w:rPr>
          <w:b/>
          <w:sz w:val="24"/>
          <w:szCs w:val="24"/>
        </w:rPr>
        <w:t>,</w:t>
      </w:r>
      <w:r w:rsidRPr="00CE76D1">
        <w:rPr>
          <w:b/>
          <w:color w:val="FF0000"/>
          <w:sz w:val="24"/>
          <w:szCs w:val="24"/>
        </w:rPr>
        <w:t>;</w:t>
      </w:r>
      <w:r w:rsidR="007E4B05">
        <w:rPr>
          <w:sz w:val="24"/>
          <w:szCs w:val="24"/>
        </w:rPr>
        <w:t xml:space="preserve"> iar d</w:t>
      </w:r>
      <w:r w:rsidR="00C22118">
        <w:rPr>
          <w:sz w:val="24"/>
          <w:szCs w:val="24"/>
        </w:rPr>
        <w:t>eficitele bu</w:t>
      </w:r>
      <w:r w:rsidR="00D312D5">
        <w:rPr>
          <w:sz w:val="24"/>
          <w:szCs w:val="24"/>
        </w:rPr>
        <w:t>getare ridicate vor avea corespo</w:t>
      </w:r>
      <w:r w:rsidR="00C22118">
        <w:rPr>
          <w:sz w:val="24"/>
          <w:szCs w:val="24"/>
        </w:rPr>
        <w:t>ndent mai devreme sau mai târziu în majorarea datoriei publice.</w:t>
      </w:r>
      <w:r w:rsidR="007E4B05">
        <w:rPr>
          <w:sz w:val="24"/>
          <w:szCs w:val="24"/>
        </w:rPr>
        <w:t xml:space="preserve"> </w:t>
      </w:r>
    </w:p>
    <w:p w14:paraId="3FA853A3" w14:textId="7F39A4E3" w:rsidR="00A12B71" w:rsidRDefault="007E4B05" w:rsidP="003B38CB">
      <w:pPr>
        <w:spacing w:after="200" w:line="276" w:lineRule="auto"/>
        <w:jc w:val="both"/>
        <w:rPr>
          <w:sz w:val="24"/>
          <w:szCs w:val="24"/>
        </w:rPr>
      </w:pPr>
      <w:r>
        <w:rPr>
          <w:sz w:val="24"/>
          <w:szCs w:val="24"/>
        </w:rPr>
        <w:t>În cazul României, ușoara reducere a ponderii datoriei publice în PIB din această perioadă este explicată de ratele înalte de creștere ale PIB nominal</w:t>
      </w:r>
      <w:r w:rsidR="005578D0">
        <w:rPr>
          <w:sz w:val="24"/>
          <w:szCs w:val="24"/>
        </w:rPr>
        <w:t xml:space="preserve"> și de dobânzile reduse de pe plan internațional</w:t>
      </w:r>
      <w:r>
        <w:rPr>
          <w:sz w:val="24"/>
          <w:szCs w:val="24"/>
        </w:rPr>
        <w:t xml:space="preserve">, care au generat un diferențial favorabil între creșterea economică și rata dobânzii plătite la datoria publică și au ocultat acumularea de datorie publică generată de nivelurile înalte ale deficitului bugetar. Revenirea la rate mai reduse de creștere ale PIB nominal – fie </w:t>
      </w:r>
      <w:r w:rsidR="00236631">
        <w:rPr>
          <w:sz w:val="24"/>
          <w:szCs w:val="24"/>
        </w:rPr>
        <w:t xml:space="preserve">din cauza </w:t>
      </w:r>
      <w:r>
        <w:rPr>
          <w:sz w:val="24"/>
          <w:szCs w:val="24"/>
        </w:rPr>
        <w:t>ciclului economic</w:t>
      </w:r>
      <w:r w:rsidR="00041477">
        <w:rPr>
          <w:rStyle w:val="FootnoteReference"/>
          <w:sz w:val="24"/>
          <w:szCs w:val="24"/>
        </w:rPr>
        <w:footnoteReference w:id="3"/>
      </w:r>
      <w:r>
        <w:rPr>
          <w:sz w:val="24"/>
          <w:szCs w:val="24"/>
        </w:rPr>
        <w:t xml:space="preserve"> și/sau a deteriorării indicatorilor macroeconomici ca urmare a conduitei politicii fiscal-bugetare – va conduce, cel mai probabil, la o majorare alertă a ponderii datoriei publice în PIB. </w:t>
      </w:r>
      <w:r w:rsidR="006D6939">
        <w:rPr>
          <w:sz w:val="24"/>
          <w:szCs w:val="24"/>
        </w:rPr>
        <w:t>Aceasta ar fi mai vizibil</w:t>
      </w:r>
      <w:r w:rsidR="00AF59C3">
        <w:rPr>
          <w:sz w:val="24"/>
          <w:szCs w:val="24"/>
        </w:rPr>
        <w:t>ă</w:t>
      </w:r>
      <w:r w:rsidR="006D6939">
        <w:rPr>
          <w:sz w:val="24"/>
          <w:szCs w:val="24"/>
        </w:rPr>
        <w:t xml:space="preserve"> </w:t>
      </w:r>
      <w:r w:rsidR="00E1682E">
        <w:rPr>
          <w:sz w:val="24"/>
          <w:szCs w:val="24"/>
        </w:rPr>
        <w:t>î</w:t>
      </w:r>
      <w:r w:rsidR="006D6939">
        <w:rPr>
          <w:sz w:val="24"/>
          <w:szCs w:val="24"/>
        </w:rPr>
        <w:t xml:space="preserve">n cazul </w:t>
      </w:r>
      <w:r w:rsidR="00E1682E">
        <w:rPr>
          <w:sz w:val="24"/>
          <w:szCs w:val="24"/>
        </w:rPr>
        <w:t>î</w:t>
      </w:r>
      <w:r w:rsidR="006D6939">
        <w:rPr>
          <w:sz w:val="24"/>
          <w:szCs w:val="24"/>
        </w:rPr>
        <w:t>n care ar avea loc o reevaluare a riscurilor pe pie</w:t>
      </w:r>
      <w:r w:rsidR="00E1682E">
        <w:rPr>
          <w:sz w:val="24"/>
          <w:szCs w:val="24"/>
        </w:rPr>
        <w:t>ț</w:t>
      </w:r>
      <w:r w:rsidR="006D6939">
        <w:rPr>
          <w:sz w:val="24"/>
          <w:szCs w:val="24"/>
        </w:rPr>
        <w:t xml:space="preserve">e </w:t>
      </w:r>
      <w:r w:rsidR="00E1682E">
        <w:rPr>
          <w:sz w:val="24"/>
          <w:szCs w:val="24"/>
        </w:rPr>
        <w:t>ș</w:t>
      </w:r>
      <w:r w:rsidR="006D6939">
        <w:rPr>
          <w:sz w:val="24"/>
          <w:szCs w:val="24"/>
        </w:rPr>
        <w:t>i o diferen</w:t>
      </w:r>
      <w:r w:rsidR="00E1682E">
        <w:rPr>
          <w:sz w:val="24"/>
          <w:szCs w:val="24"/>
        </w:rPr>
        <w:t>ț</w:t>
      </w:r>
      <w:r w:rsidR="006D6939">
        <w:rPr>
          <w:sz w:val="24"/>
          <w:szCs w:val="24"/>
        </w:rPr>
        <w:t>iere mai accentuat</w:t>
      </w:r>
      <w:r w:rsidR="00E1682E">
        <w:rPr>
          <w:sz w:val="24"/>
          <w:szCs w:val="24"/>
        </w:rPr>
        <w:t>ă</w:t>
      </w:r>
      <w:r w:rsidR="006D6939">
        <w:rPr>
          <w:sz w:val="24"/>
          <w:szCs w:val="24"/>
        </w:rPr>
        <w:t xml:space="preserve"> </w:t>
      </w:r>
      <w:r w:rsidR="00E1682E">
        <w:rPr>
          <w:sz w:val="24"/>
          <w:szCs w:val="24"/>
        </w:rPr>
        <w:t>î</w:t>
      </w:r>
      <w:r w:rsidR="006D6939">
        <w:rPr>
          <w:sz w:val="24"/>
          <w:szCs w:val="24"/>
        </w:rPr>
        <w:t xml:space="preserve">ntre economiile emergente. </w:t>
      </w:r>
      <w:r w:rsidR="000E27D7">
        <w:rPr>
          <w:sz w:val="24"/>
          <w:szCs w:val="24"/>
        </w:rPr>
        <w:t>Chiar dacă ecartul până la nivelul de 60% din PIB prevăzut de tratatele eu</w:t>
      </w:r>
      <w:r w:rsidR="003A6E56">
        <w:rPr>
          <w:sz w:val="24"/>
          <w:szCs w:val="24"/>
        </w:rPr>
        <w:t>ropene este încă ridicat, există</w:t>
      </w:r>
      <w:r w:rsidR="000E27D7">
        <w:rPr>
          <w:sz w:val="24"/>
          <w:szCs w:val="24"/>
        </w:rPr>
        <w:t xml:space="preserve"> argumente </w:t>
      </w:r>
      <w:r w:rsidR="000E27D7">
        <w:rPr>
          <w:sz w:val="24"/>
          <w:szCs w:val="24"/>
        </w:rPr>
        <w:lastRenderedPageBreak/>
        <w:t>s</w:t>
      </w:r>
      <w:r w:rsidR="006D6939">
        <w:rPr>
          <w:sz w:val="24"/>
          <w:szCs w:val="24"/>
        </w:rPr>
        <w:t>erioase</w:t>
      </w:r>
      <w:r w:rsidR="000E27D7">
        <w:rPr>
          <w:sz w:val="24"/>
          <w:szCs w:val="24"/>
        </w:rPr>
        <w:t xml:space="preserve"> pentru care toleranța economiei românești la gradul de îndatorare public</w:t>
      </w:r>
      <w:r w:rsidR="00FA01AC">
        <w:rPr>
          <w:sz w:val="24"/>
          <w:szCs w:val="24"/>
        </w:rPr>
        <w:t>ă</w:t>
      </w:r>
      <w:r w:rsidR="000E27D7">
        <w:rPr>
          <w:sz w:val="24"/>
          <w:szCs w:val="24"/>
        </w:rPr>
        <w:t xml:space="preserve"> ar putea fi mai redus d</w:t>
      </w:r>
      <w:r w:rsidR="003A6E56">
        <w:rPr>
          <w:sz w:val="24"/>
          <w:szCs w:val="24"/>
        </w:rPr>
        <w:t>ecât acest prag</w:t>
      </w:r>
      <w:r w:rsidR="00446045">
        <w:rPr>
          <w:sz w:val="24"/>
          <w:szCs w:val="24"/>
        </w:rPr>
        <w:t xml:space="preserve">; </w:t>
      </w:r>
      <w:r w:rsidR="004E3F1A">
        <w:rPr>
          <w:sz w:val="24"/>
          <w:szCs w:val="24"/>
        </w:rPr>
        <w:t>î</w:t>
      </w:r>
      <w:r w:rsidR="00446045">
        <w:rPr>
          <w:sz w:val="24"/>
          <w:szCs w:val="24"/>
        </w:rPr>
        <w:t xml:space="preserve">ntre aceste argumente sunt </w:t>
      </w:r>
      <w:r w:rsidR="000E27D7">
        <w:rPr>
          <w:sz w:val="24"/>
          <w:szCs w:val="24"/>
        </w:rPr>
        <w:t>nivelul de dezvoltare al economiei românești</w:t>
      </w:r>
      <w:r w:rsidR="00446045">
        <w:rPr>
          <w:sz w:val="24"/>
          <w:szCs w:val="24"/>
        </w:rPr>
        <w:t>,</w:t>
      </w:r>
      <w:r w:rsidR="000E27D7">
        <w:rPr>
          <w:sz w:val="24"/>
          <w:szCs w:val="24"/>
        </w:rPr>
        <w:t xml:space="preserve"> capacitatea limitată de absorbție de datorie publică a pieței financiare interne</w:t>
      </w:r>
      <w:r w:rsidR="00446045">
        <w:rPr>
          <w:sz w:val="24"/>
          <w:szCs w:val="24"/>
        </w:rPr>
        <w:t xml:space="preserve"> foarte </w:t>
      </w:r>
      <w:r w:rsidR="004E3F1A">
        <w:rPr>
          <w:sz w:val="24"/>
          <w:szCs w:val="24"/>
        </w:rPr>
        <w:t>î</w:t>
      </w:r>
      <w:r w:rsidR="00446045">
        <w:rPr>
          <w:sz w:val="24"/>
          <w:szCs w:val="24"/>
        </w:rPr>
        <w:t>nguste, costul finan</w:t>
      </w:r>
      <w:r w:rsidR="004E3F1A">
        <w:rPr>
          <w:sz w:val="24"/>
          <w:szCs w:val="24"/>
        </w:rPr>
        <w:t>ță</w:t>
      </w:r>
      <w:r w:rsidR="00446045">
        <w:rPr>
          <w:sz w:val="24"/>
          <w:szCs w:val="24"/>
        </w:rPr>
        <w:t>rii deficitelor ce poate cre</w:t>
      </w:r>
      <w:r w:rsidR="004E3F1A">
        <w:rPr>
          <w:sz w:val="24"/>
          <w:szCs w:val="24"/>
        </w:rPr>
        <w:t>ște foarte repede</w:t>
      </w:r>
      <w:r w:rsidR="00446045">
        <w:rPr>
          <w:sz w:val="24"/>
          <w:szCs w:val="24"/>
        </w:rPr>
        <w:t>, etc</w:t>
      </w:r>
      <w:r w:rsidR="000E27D7">
        <w:rPr>
          <w:sz w:val="24"/>
          <w:szCs w:val="24"/>
        </w:rPr>
        <w:t>.</w:t>
      </w:r>
    </w:p>
    <w:p w14:paraId="2F1E2EE5" w14:textId="58580CDB" w:rsidR="006D5DD6" w:rsidRDefault="006D5DD6" w:rsidP="003B38CB">
      <w:pPr>
        <w:spacing w:after="200" w:line="276" w:lineRule="auto"/>
        <w:jc w:val="both"/>
        <w:rPr>
          <w:sz w:val="24"/>
          <w:szCs w:val="24"/>
        </w:rPr>
      </w:pPr>
      <w:r>
        <w:rPr>
          <w:sz w:val="24"/>
          <w:szCs w:val="24"/>
        </w:rPr>
        <w:t xml:space="preserve">În ceea ce privește cadrul macroeconomic care fundamentează construcția bugetară aferentă anului 2020, CF a menționat deja, în opinia sa preliminară, aspecte </w:t>
      </w:r>
      <w:r w:rsidR="00446045">
        <w:rPr>
          <w:sz w:val="24"/>
          <w:szCs w:val="24"/>
        </w:rPr>
        <w:t>discutabile</w:t>
      </w:r>
      <w:r>
        <w:rPr>
          <w:sz w:val="24"/>
          <w:szCs w:val="24"/>
        </w:rPr>
        <w:t xml:space="preserve">. Astfel, </w:t>
      </w:r>
      <w:r w:rsidR="004E79A7">
        <w:rPr>
          <w:sz w:val="24"/>
          <w:szCs w:val="24"/>
        </w:rPr>
        <w:t xml:space="preserve">CF apreciază că </w:t>
      </w:r>
      <w:r w:rsidR="004E3F1A">
        <w:rPr>
          <w:sz w:val="24"/>
          <w:szCs w:val="24"/>
        </w:rPr>
        <w:t xml:space="preserve">majorarea </w:t>
      </w:r>
      <w:r w:rsidR="004E79A7">
        <w:rPr>
          <w:sz w:val="24"/>
          <w:szCs w:val="24"/>
        </w:rPr>
        <w:t>pro</w:t>
      </w:r>
      <w:r w:rsidR="00446045">
        <w:rPr>
          <w:sz w:val="24"/>
          <w:szCs w:val="24"/>
        </w:rPr>
        <w:t>gnozat</w:t>
      </w:r>
      <w:r w:rsidR="004E3F1A">
        <w:rPr>
          <w:sz w:val="24"/>
          <w:szCs w:val="24"/>
        </w:rPr>
        <w:t>ă</w:t>
      </w:r>
      <w:r w:rsidR="004E79A7">
        <w:rPr>
          <w:sz w:val="24"/>
          <w:szCs w:val="24"/>
        </w:rPr>
        <w:t xml:space="preserve"> a PIB real este supraestimat</w:t>
      </w:r>
      <w:r w:rsidR="004E3F1A">
        <w:rPr>
          <w:sz w:val="24"/>
          <w:szCs w:val="24"/>
        </w:rPr>
        <w:t>ă</w:t>
      </w:r>
      <w:r w:rsidR="004E79A7">
        <w:rPr>
          <w:sz w:val="24"/>
          <w:szCs w:val="24"/>
        </w:rPr>
        <w:t xml:space="preserve"> cu cel puțin 0,5 pp prin comparație cu prognozele altor instituții financiare și având în vedere cele mai recente evoluții, în timp ce indicatorii pieței muncii sunt optimiști, cel puțin în ceea ce privește </w:t>
      </w:r>
      <w:r w:rsidR="00446045">
        <w:rPr>
          <w:sz w:val="24"/>
          <w:szCs w:val="24"/>
        </w:rPr>
        <w:t>evolu</w:t>
      </w:r>
      <w:r w:rsidR="00E1682E">
        <w:rPr>
          <w:sz w:val="24"/>
          <w:szCs w:val="24"/>
        </w:rPr>
        <w:t>ț</w:t>
      </w:r>
      <w:r w:rsidR="00446045">
        <w:rPr>
          <w:sz w:val="24"/>
          <w:szCs w:val="24"/>
        </w:rPr>
        <w:t>ia</w:t>
      </w:r>
      <w:r w:rsidR="004E79A7">
        <w:rPr>
          <w:sz w:val="24"/>
          <w:szCs w:val="24"/>
        </w:rPr>
        <w:t xml:space="preserve"> numărului de angajați din economie. Astfel, Comisia Națională de Strategie și Prognoză (CNSP) pro</w:t>
      </w:r>
      <w:r w:rsidR="00446045">
        <w:rPr>
          <w:sz w:val="24"/>
          <w:szCs w:val="24"/>
        </w:rPr>
        <w:t>gnozeaz</w:t>
      </w:r>
      <w:r w:rsidR="004E79A7">
        <w:rPr>
          <w:sz w:val="24"/>
          <w:szCs w:val="24"/>
        </w:rPr>
        <w:t xml:space="preserve">ă </w:t>
      </w:r>
      <w:r w:rsidR="00446045">
        <w:rPr>
          <w:sz w:val="24"/>
          <w:szCs w:val="24"/>
        </w:rPr>
        <w:t>o cre</w:t>
      </w:r>
      <w:r w:rsidR="00E1682E">
        <w:rPr>
          <w:sz w:val="24"/>
          <w:szCs w:val="24"/>
        </w:rPr>
        <w:t>ș</w:t>
      </w:r>
      <w:r w:rsidR="00446045">
        <w:rPr>
          <w:sz w:val="24"/>
          <w:szCs w:val="24"/>
        </w:rPr>
        <w:t>tere</w:t>
      </w:r>
      <w:r w:rsidR="004E79A7">
        <w:rPr>
          <w:sz w:val="24"/>
          <w:szCs w:val="24"/>
        </w:rPr>
        <w:t xml:space="preserve"> de 2% pentru acest indicator, în accelerare față de anul 2018</w:t>
      </w:r>
      <w:r w:rsidR="00FB64D7">
        <w:rPr>
          <w:sz w:val="24"/>
          <w:szCs w:val="24"/>
        </w:rPr>
        <w:t>,</w:t>
      </w:r>
      <w:r w:rsidR="004E79A7">
        <w:rPr>
          <w:sz w:val="24"/>
          <w:szCs w:val="24"/>
        </w:rPr>
        <w:t xml:space="preserve"> în condițiile în care datele statistice indică o încetinire compatibilă cu cea a economiei și cu gradul ridicat de tensionare a pieței muncii. CF apreciază </w:t>
      </w:r>
      <w:r w:rsidR="00446045">
        <w:rPr>
          <w:sz w:val="24"/>
          <w:szCs w:val="24"/>
        </w:rPr>
        <w:t>mai</w:t>
      </w:r>
      <w:r w:rsidR="004E79A7">
        <w:rPr>
          <w:sz w:val="24"/>
          <w:szCs w:val="24"/>
        </w:rPr>
        <w:t xml:space="preserve"> probabilă o dinamică a anvelopei salariale din economie cu cel puțin 1 pp mai redusă, ceea ce coroborat cu </w:t>
      </w:r>
      <w:r w:rsidR="00446045">
        <w:rPr>
          <w:sz w:val="24"/>
          <w:szCs w:val="24"/>
        </w:rPr>
        <w:t>o cre</w:t>
      </w:r>
      <w:r w:rsidR="00E1682E">
        <w:rPr>
          <w:sz w:val="24"/>
          <w:szCs w:val="24"/>
        </w:rPr>
        <w:t>ș</w:t>
      </w:r>
      <w:r w:rsidR="00446045">
        <w:rPr>
          <w:sz w:val="24"/>
          <w:szCs w:val="24"/>
        </w:rPr>
        <w:t>tere</w:t>
      </w:r>
      <w:r w:rsidR="004E79A7">
        <w:rPr>
          <w:sz w:val="24"/>
          <w:szCs w:val="24"/>
        </w:rPr>
        <w:t xml:space="preserve"> mai mic</w:t>
      </w:r>
      <w:r w:rsidR="00E1682E">
        <w:rPr>
          <w:sz w:val="24"/>
          <w:szCs w:val="24"/>
        </w:rPr>
        <w:t>ă</w:t>
      </w:r>
      <w:r w:rsidR="004E79A7">
        <w:rPr>
          <w:sz w:val="24"/>
          <w:szCs w:val="24"/>
        </w:rPr>
        <w:t xml:space="preserve"> a PIB real</w:t>
      </w:r>
      <w:r w:rsidR="00FB64D7">
        <w:rPr>
          <w:sz w:val="24"/>
          <w:szCs w:val="24"/>
        </w:rPr>
        <w:t xml:space="preserve"> cu 0,5 pp</w:t>
      </w:r>
      <w:r w:rsidR="004E79A7">
        <w:rPr>
          <w:sz w:val="24"/>
          <w:szCs w:val="24"/>
        </w:rPr>
        <w:t>, a</w:t>
      </w:r>
      <w:r w:rsidR="00E7473D">
        <w:rPr>
          <w:sz w:val="24"/>
          <w:szCs w:val="24"/>
        </w:rPr>
        <w:t>re</w:t>
      </w:r>
      <w:r w:rsidR="004E79A7">
        <w:rPr>
          <w:sz w:val="24"/>
          <w:szCs w:val="24"/>
        </w:rPr>
        <w:t xml:space="preserve"> potențial</w:t>
      </w:r>
      <w:r w:rsidR="00FB64D7">
        <w:rPr>
          <w:sz w:val="24"/>
          <w:szCs w:val="24"/>
        </w:rPr>
        <w:t>ul</w:t>
      </w:r>
      <w:r w:rsidR="004E79A7">
        <w:rPr>
          <w:sz w:val="24"/>
          <w:szCs w:val="24"/>
        </w:rPr>
        <w:t xml:space="preserve"> să conducă la venituri bugetare mai reduse cu </w:t>
      </w:r>
      <w:r w:rsidR="003A6E56">
        <w:rPr>
          <w:sz w:val="24"/>
          <w:szCs w:val="24"/>
        </w:rPr>
        <w:t>cel puțin circa 0,1</w:t>
      </w:r>
      <w:r w:rsidR="00A077E6">
        <w:rPr>
          <w:sz w:val="24"/>
          <w:szCs w:val="24"/>
        </w:rPr>
        <w:t>5</w:t>
      </w:r>
      <w:r w:rsidR="00FB64D7">
        <w:rPr>
          <w:sz w:val="24"/>
          <w:szCs w:val="24"/>
        </w:rPr>
        <w:t xml:space="preserve"> pp din PIB.</w:t>
      </w:r>
    </w:p>
    <w:p w14:paraId="34B6AA29" w14:textId="5A8B9353" w:rsidR="00FB64D7" w:rsidRDefault="00AF2A77" w:rsidP="003B38CB">
      <w:pPr>
        <w:spacing w:after="200" w:line="276" w:lineRule="auto"/>
        <w:jc w:val="both"/>
        <w:rPr>
          <w:sz w:val="24"/>
          <w:szCs w:val="24"/>
        </w:rPr>
      </w:pPr>
      <w:r>
        <w:rPr>
          <w:sz w:val="24"/>
          <w:szCs w:val="24"/>
        </w:rPr>
        <w:t>Problematic</w:t>
      </w:r>
      <w:r w:rsidR="00FB64D7">
        <w:rPr>
          <w:sz w:val="24"/>
          <w:szCs w:val="24"/>
        </w:rPr>
        <w:t xml:space="preserve"> din perspectiva conduitei politicii fiscal-bugetare este și nivelul ridicat al deficitului contului curent al balanței de plăți, în condițiile în care </w:t>
      </w:r>
      <w:r w:rsidR="00402B84">
        <w:rPr>
          <w:sz w:val="24"/>
          <w:szCs w:val="24"/>
        </w:rPr>
        <w:t>la nivelul</w:t>
      </w:r>
      <w:r w:rsidR="00FB64D7">
        <w:rPr>
          <w:sz w:val="24"/>
          <w:szCs w:val="24"/>
        </w:rPr>
        <w:t xml:space="preserve"> anului 2019 dezechilibrul extern </w:t>
      </w:r>
      <w:r w:rsidR="00402B84">
        <w:rPr>
          <w:sz w:val="24"/>
          <w:szCs w:val="24"/>
        </w:rPr>
        <w:t>a fost</w:t>
      </w:r>
      <w:r w:rsidR="003A6E56">
        <w:rPr>
          <w:sz w:val="24"/>
          <w:szCs w:val="24"/>
        </w:rPr>
        <w:t xml:space="preserve"> generat, probabil, </w:t>
      </w:r>
      <w:r w:rsidR="00402B84">
        <w:rPr>
          <w:sz w:val="24"/>
          <w:szCs w:val="24"/>
        </w:rPr>
        <w:t>în proporție de peste</w:t>
      </w:r>
      <w:r w:rsidR="00FB64D7">
        <w:rPr>
          <w:sz w:val="24"/>
          <w:szCs w:val="24"/>
        </w:rPr>
        <w:t xml:space="preserve"> 80% </w:t>
      </w:r>
      <w:r w:rsidR="00402B84">
        <w:rPr>
          <w:sz w:val="24"/>
          <w:szCs w:val="24"/>
        </w:rPr>
        <w:t>d</w:t>
      </w:r>
      <w:r w:rsidR="00E7473D">
        <w:rPr>
          <w:sz w:val="24"/>
          <w:szCs w:val="24"/>
        </w:rPr>
        <w:t>e</w:t>
      </w:r>
      <w:r w:rsidR="003A6E56">
        <w:rPr>
          <w:sz w:val="24"/>
          <w:szCs w:val="24"/>
        </w:rPr>
        <w:t xml:space="preserve"> balanța economisire</w:t>
      </w:r>
      <w:r w:rsidR="00E7473D">
        <w:rPr>
          <w:sz w:val="24"/>
          <w:szCs w:val="24"/>
        </w:rPr>
        <w:t xml:space="preserve"> – </w:t>
      </w:r>
      <w:r w:rsidR="003A6E56">
        <w:rPr>
          <w:sz w:val="24"/>
          <w:szCs w:val="24"/>
        </w:rPr>
        <w:t>investire</w:t>
      </w:r>
      <w:r w:rsidR="00E7473D">
        <w:rPr>
          <w:sz w:val="24"/>
          <w:szCs w:val="24"/>
        </w:rPr>
        <w:t xml:space="preserve"> </w:t>
      </w:r>
      <w:r w:rsidR="003A6E56">
        <w:rPr>
          <w:sz w:val="24"/>
          <w:szCs w:val="24"/>
        </w:rPr>
        <w:t>di</w:t>
      </w:r>
      <w:r w:rsidR="00402B84">
        <w:rPr>
          <w:sz w:val="24"/>
          <w:szCs w:val="24"/>
        </w:rPr>
        <w:t xml:space="preserve">n sectorul public. Încetinirea activității economice a principalilor parteneri comerciali, pe fondului războiului comercial, </w:t>
      </w:r>
      <w:r w:rsidR="003D7D92">
        <w:rPr>
          <w:sz w:val="24"/>
          <w:szCs w:val="24"/>
        </w:rPr>
        <w:t xml:space="preserve">a </w:t>
      </w:r>
      <w:r w:rsidR="00402B84">
        <w:rPr>
          <w:sz w:val="24"/>
          <w:szCs w:val="24"/>
        </w:rPr>
        <w:t>incerti</w:t>
      </w:r>
      <w:r w:rsidR="00D312D5">
        <w:rPr>
          <w:sz w:val="24"/>
          <w:szCs w:val="24"/>
        </w:rPr>
        <w:t xml:space="preserve">tudinilor privind </w:t>
      </w:r>
      <w:r w:rsidR="00D312D5" w:rsidRPr="006B49CB">
        <w:rPr>
          <w:i/>
          <w:iCs/>
          <w:sz w:val="24"/>
          <w:szCs w:val="24"/>
        </w:rPr>
        <w:t>Brexit</w:t>
      </w:r>
      <w:r w:rsidR="00D312D5">
        <w:rPr>
          <w:sz w:val="24"/>
          <w:szCs w:val="24"/>
        </w:rPr>
        <w:t xml:space="preserve">-ul și </w:t>
      </w:r>
      <w:r w:rsidR="003D7D92">
        <w:rPr>
          <w:sz w:val="24"/>
          <w:szCs w:val="24"/>
        </w:rPr>
        <w:t xml:space="preserve">a decelerării </w:t>
      </w:r>
      <w:r w:rsidR="00402B84">
        <w:rPr>
          <w:sz w:val="24"/>
          <w:szCs w:val="24"/>
        </w:rPr>
        <w:t>principalelor economii din Asia reprezintă un argument în plus în favo</w:t>
      </w:r>
      <w:r w:rsidR="00D312D5">
        <w:rPr>
          <w:sz w:val="24"/>
          <w:szCs w:val="24"/>
        </w:rPr>
        <w:t>a</w:t>
      </w:r>
      <w:r w:rsidR="00402B84">
        <w:rPr>
          <w:sz w:val="24"/>
          <w:szCs w:val="24"/>
        </w:rPr>
        <w:t>rea corecției dezechilibrului extern</w:t>
      </w:r>
      <w:r w:rsidR="00446045">
        <w:rPr>
          <w:sz w:val="24"/>
          <w:szCs w:val="24"/>
        </w:rPr>
        <w:t xml:space="preserve"> </w:t>
      </w:r>
      <w:r w:rsidR="00E1682E">
        <w:rPr>
          <w:sz w:val="24"/>
          <w:szCs w:val="24"/>
        </w:rPr>
        <w:t>î</w:t>
      </w:r>
      <w:r w:rsidR="00446045">
        <w:rPr>
          <w:sz w:val="24"/>
          <w:szCs w:val="24"/>
        </w:rPr>
        <w:t>n principal</w:t>
      </w:r>
      <w:r w:rsidR="00402B84">
        <w:rPr>
          <w:sz w:val="24"/>
          <w:szCs w:val="24"/>
        </w:rPr>
        <w:t xml:space="preserve"> prin consolidare bugetară, în vederea </w:t>
      </w:r>
      <w:r w:rsidR="00446045">
        <w:rPr>
          <w:sz w:val="24"/>
          <w:szCs w:val="24"/>
        </w:rPr>
        <w:t>prote</w:t>
      </w:r>
      <w:r w:rsidR="00E1682E">
        <w:rPr>
          <w:sz w:val="24"/>
          <w:szCs w:val="24"/>
        </w:rPr>
        <w:t>jă</w:t>
      </w:r>
      <w:r w:rsidR="00446045">
        <w:rPr>
          <w:sz w:val="24"/>
          <w:szCs w:val="24"/>
        </w:rPr>
        <w:t>r</w:t>
      </w:r>
      <w:r w:rsidR="00402B84">
        <w:rPr>
          <w:sz w:val="24"/>
          <w:szCs w:val="24"/>
        </w:rPr>
        <w:t>ii economiei românești.</w:t>
      </w:r>
    </w:p>
    <w:p w14:paraId="6DBA3BBB" w14:textId="380BC105" w:rsidR="00FB64D7" w:rsidRDefault="00641132" w:rsidP="003B38CB">
      <w:pPr>
        <w:spacing w:after="200" w:line="276" w:lineRule="auto"/>
        <w:jc w:val="both"/>
        <w:rPr>
          <w:sz w:val="24"/>
          <w:szCs w:val="24"/>
        </w:rPr>
      </w:pPr>
      <w:r>
        <w:rPr>
          <w:sz w:val="24"/>
          <w:szCs w:val="24"/>
        </w:rPr>
        <w:t>Un alt element îndoielnic al construcției bugetare pentru anul 2020 este reprezentat de proiecția cheltuielilor cu bunuri și servicii</w:t>
      </w:r>
      <w:r w:rsidR="003D7D92">
        <w:rPr>
          <w:sz w:val="24"/>
          <w:szCs w:val="24"/>
        </w:rPr>
        <w:t>, al căror ritm de creștere din</w:t>
      </w:r>
      <w:r w:rsidR="001912A0">
        <w:rPr>
          <w:sz w:val="24"/>
          <w:szCs w:val="24"/>
        </w:rPr>
        <w:t xml:space="preserve"> anul 2020</w:t>
      </w:r>
      <w:r>
        <w:rPr>
          <w:sz w:val="24"/>
          <w:szCs w:val="24"/>
        </w:rPr>
        <w:t xml:space="preserve"> este de doar 3</w:t>
      </w:r>
      <w:r w:rsidR="003D7D92">
        <w:rPr>
          <w:sz w:val="24"/>
          <w:szCs w:val="24"/>
        </w:rPr>
        <w:t>,</w:t>
      </w:r>
      <w:r w:rsidR="00D312D5">
        <w:rPr>
          <w:sz w:val="24"/>
          <w:szCs w:val="24"/>
        </w:rPr>
        <w:t>7</w:t>
      </w:r>
      <w:r>
        <w:rPr>
          <w:sz w:val="24"/>
          <w:szCs w:val="24"/>
        </w:rPr>
        <w:t>%,</w:t>
      </w:r>
      <w:r w:rsidR="003D7D92">
        <w:rPr>
          <w:sz w:val="24"/>
          <w:szCs w:val="24"/>
        </w:rPr>
        <w:t xml:space="preserve"> apropiat de inflația</w:t>
      </w:r>
      <w:r w:rsidR="000B6A0F">
        <w:rPr>
          <w:sz w:val="24"/>
          <w:szCs w:val="24"/>
        </w:rPr>
        <w:t xml:space="preserve"> medie prognozată pent</w:t>
      </w:r>
      <w:r w:rsidR="00D312D5">
        <w:rPr>
          <w:sz w:val="24"/>
          <w:szCs w:val="24"/>
        </w:rPr>
        <w:t>r</w:t>
      </w:r>
      <w:r w:rsidR="000B6A0F">
        <w:rPr>
          <w:sz w:val="24"/>
          <w:szCs w:val="24"/>
        </w:rPr>
        <w:t>u</w:t>
      </w:r>
      <w:r w:rsidR="00D312D5">
        <w:rPr>
          <w:sz w:val="24"/>
          <w:szCs w:val="24"/>
        </w:rPr>
        <w:t xml:space="preserve"> anul în curs de 3,1%. Totodată</w:t>
      </w:r>
      <w:r w:rsidR="003D7D92">
        <w:rPr>
          <w:sz w:val="24"/>
          <w:szCs w:val="24"/>
        </w:rPr>
        <w:t>,</w:t>
      </w:r>
      <w:r w:rsidR="000B6A0F">
        <w:rPr>
          <w:sz w:val="24"/>
          <w:szCs w:val="24"/>
        </w:rPr>
        <w:t xml:space="preserve"> acesta este n</w:t>
      </w:r>
      <w:r>
        <w:rPr>
          <w:sz w:val="24"/>
          <w:szCs w:val="24"/>
        </w:rPr>
        <w:t xml:space="preserve">et inferior </w:t>
      </w:r>
      <w:r w:rsidR="00446045">
        <w:rPr>
          <w:sz w:val="24"/>
          <w:szCs w:val="24"/>
        </w:rPr>
        <w:t>cre</w:t>
      </w:r>
      <w:r w:rsidR="00E1682E">
        <w:rPr>
          <w:sz w:val="24"/>
          <w:szCs w:val="24"/>
        </w:rPr>
        <w:t>ș</w:t>
      </w:r>
      <w:r w:rsidR="00446045">
        <w:rPr>
          <w:sz w:val="24"/>
          <w:szCs w:val="24"/>
        </w:rPr>
        <w:t>terii</w:t>
      </w:r>
      <w:r>
        <w:rPr>
          <w:sz w:val="24"/>
          <w:szCs w:val="24"/>
        </w:rPr>
        <w:t xml:space="preserve"> PIB nominal de 8,5%, evoluția acestui agre</w:t>
      </w:r>
      <w:r w:rsidR="006B49CB">
        <w:rPr>
          <w:sz w:val="24"/>
          <w:szCs w:val="24"/>
        </w:rPr>
        <w:t>gat</w:t>
      </w:r>
      <w:r>
        <w:rPr>
          <w:sz w:val="24"/>
          <w:szCs w:val="24"/>
        </w:rPr>
        <w:t xml:space="preserve"> bugetar reprezentând astfel o </w:t>
      </w:r>
      <w:r w:rsidR="00AF2A77">
        <w:rPr>
          <w:sz w:val="24"/>
          <w:szCs w:val="24"/>
        </w:rPr>
        <w:t xml:space="preserve">sursă de consolidare fiscală în </w:t>
      </w:r>
      <w:r>
        <w:rPr>
          <w:sz w:val="24"/>
          <w:szCs w:val="24"/>
        </w:rPr>
        <w:t xml:space="preserve">cuantum de 0,21 pp de PIB. </w:t>
      </w:r>
      <w:r w:rsidR="000B6A0F">
        <w:rPr>
          <w:sz w:val="24"/>
          <w:szCs w:val="24"/>
        </w:rPr>
        <w:t xml:space="preserve">O </w:t>
      </w:r>
      <w:r w:rsidR="00041477">
        <w:rPr>
          <w:sz w:val="24"/>
          <w:szCs w:val="24"/>
        </w:rPr>
        <w:t>asemenea</w:t>
      </w:r>
      <w:r w:rsidR="000B6A0F">
        <w:rPr>
          <w:sz w:val="24"/>
          <w:szCs w:val="24"/>
        </w:rPr>
        <w:t xml:space="preserve"> evoluție este incertă în condițiile în care, cel mai probabil, execuția bugetară aferentă anului 2019 a consemnat o deviație considerabilă față de ținta propusă prin a doua rectificare </w:t>
      </w:r>
      <w:r w:rsidR="003D7D92">
        <w:rPr>
          <w:sz w:val="24"/>
          <w:szCs w:val="24"/>
        </w:rPr>
        <w:t xml:space="preserve">precum </w:t>
      </w:r>
      <w:r w:rsidR="000B6A0F">
        <w:rPr>
          <w:sz w:val="24"/>
          <w:szCs w:val="24"/>
        </w:rPr>
        <w:t>și în lipsa unor măsuri concrete de tipul unor reforme profunde ale sistemului de achiziții publice. CF apreciază drept dificilă încadrarea în ritmul de creștere proiectat pentru această categorie de cheltuieli.</w:t>
      </w:r>
    </w:p>
    <w:p w14:paraId="7796B689" w14:textId="28E23B1F" w:rsidR="007B4B68" w:rsidRDefault="00CB5252" w:rsidP="003B38CB">
      <w:pPr>
        <w:spacing w:after="200" w:line="276" w:lineRule="auto"/>
        <w:jc w:val="both"/>
        <w:rPr>
          <w:sz w:val="24"/>
          <w:szCs w:val="24"/>
        </w:rPr>
      </w:pPr>
      <w:r>
        <w:rPr>
          <w:sz w:val="24"/>
          <w:szCs w:val="24"/>
        </w:rPr>
        <w:t xml:space="preserve">Cheltuielile pentru investiții </w:t>
      </w:r>
      <w:r w:rsidR="00B0046D">
        <w:rPr>
          <w:sz w:val="24"/>
          <w:szCs w:val="24"/>
        </w:rPr>
        <w:t xml:space="preserve">din bugetul propus pentru anul 2020 sunt prognozate să se majoreze ușor, respectiv cu 0,2 pp din PIB, față de nivelul </w:t>
      </w:r>
      <w:r w:rsidR="00AF2A77">
        <w:rPr>
          <w:sz w:val="24"/>
          <w:szCs w:val="24"/>
        </w:rPr>
        <w:t xml:space="preserve">estimat de MFP </w:t>
      </w:r>
      <w:r w:rsidR="00B0046D">
        <w:rPr>
          <w:sz w:val="24"/>
          <w:szCs w:val="24"/>
        </w:rPr>
        <w:t>pentru anul 2019 pe baza creșterii cheltuielilor de investiții finan</w:t>
      </w:r>
      <w:r w:rsidR="00150840">
        <w:rPr>
          <w:sz w:val="24"/>
          <w:szCs w:val="24"/>
        </w:rPr>
        <w:t>țat</w:t>
      </w:r>
      <w:r w:rsidR="00B0046D">
        <w:rPr>
          <w:sz w:val="24"/>
          <w:szCs w:val="24"/>
        </w:rPr>
        <w:t>e prin fonduri UE cu 0,6 pp din PIB, compensate parțial de un declin al investițiilor finanțate din surse interne cu 0,4 pp din PIB. Acest</w:t>
      </w:r>
      <w:r w:rsidR="00AF2A77">
        <w:rPr>
          <w:sz w:val="24"/>
          <w:szCs w:val="24"/>
        </w:rPr>
        <w:t xml:space="preserve"> </w:t>
      </w:r>
      <w:r w:rsidR="00A67590">
        <w:rPr>
          <w:sz w:val="24"/>
          <w:szCs w:val="24"/>
        </w:rPr>
        <w:t>declin</w:t>
      </w:r>
      <w:r w:rsidR="00B0046D">
        <w:rPr>
          <w:sz w:val="24"/>
          <w:szCs w:val="24"/>
        </w:rPr>
        <w:t xml:space="preserve"> este determinat covârșitor de reducerea alocărilor către Programul Național de Dezvoltare Locală (PNDL) cu circa 5 mld. lei. Substituția investițiilor finanțate din resurse interne cu investiții finanțate prin intermediul fondurilor UE, eliberându-se astfel </w:t>
      </w:r>
      <w:r w:rsidR="00B0046D">
        <w:rPr>
          <w:sz w:val="24"/>
          <w:szCs w:val="24"/>
        </w:rPr>
        <w:lastRenderedPageBreak/>
        <w:t>resurse, reprezint</w:t>
      </w:r>
      <w:r w:rsidR="00E7473D">
        <w:rPr>
          <w:sz w:val="24"/>
          <w:szCs w:val="24"/>
        </w:rPr>
        <w:t>ă</w:t>
      </w:r>
      <w:r w:rsidR="00B0046D">
        <w:rPr>
          <w:sz w:val="24"/>
          <w:szCs w:val="24"/>
        </w:rPr>
        <w:t>, în opinia CF, o abordare corectă și binevenită, cu condiția materializări</w:t>
      </w:r>
      <w:r w:rsidR="00A03D5D">
        <w:rPr>
          <w:sz w:val="24"/>
          <w:szCs w:val="24"/>
        </w:rPr>
        <w:t>i la nivelurile scontate a abs</w:t>
      </w:r>
      <w:r w:rsidR="00B0046D">
        <w:rPr>
          <w:sz w:val="24"/>
          <w:szCs w:val="24"/>
        </w:rPr>
        <w:t>orbției de fonduri europene. Însă, așa cum remarca CF cu ocazia opiniei preliminare asupra bugetului, cheltuielile de cofinanțare și neeligibile cuprinse în buget par să fie insuficiente pentru susținerea absorbț</w:t>
      </w:r>
      <w:r w:rsidR="00927111">
        <w:rPr>
          <w:sz w:val="24"/>
          <w:szCs w:val="24"/>
        </w:rPr>
        <w:t>i</w:t>
      </w:r>
      <w:r w:rsidR="00B0046D">
        <w:rPr>
          <w:sz w:val="24"/>
          <w:szCs w:val="24"/>
        </w:rPr>
        <w:t xml:space="preserve">ei de fonduri UE la nivelul prognozat în BGC, ceea ce reprezintă o sursă adițională de risc </w:t>
      </w:r>
      <w:r w:rsidR="00A03D5D">
        <w:rPr>
          <w:sz w:val="24"/>
          <w:szCs w:val="24"/>
        </w:rPr>
        <w:t>la adresa deficitului bugetar din anul 2020.</w:t>
      </w:r>
      <w:r w:rsidR="00B0046D">
        <w:rPr>
          <w:sz w:val="24"/>
          <w:szCs w:val="24"/>
        </w:rPr>
        <w:t xml:space="preserve"> </w:t>
      </w:r>
    </w:p>
    <w:p w14:paraId="432F16F0" w14:textId="62B2F905" w:rsidR="00A03D5D" w:rsidRDefault="00A03D5D" w:rsidP="003B38CB">
      <w:pPr>
        <w:spacing w:after="200" w:line="276" w:lineRule="auto"/>
        <w:jc w:val="both"/>
        <w:rPr>
          <w:sz w:val="24"/>
          <w:szCs w:val="24"/>
        </w:rPr>
      </w:pPr>
      <w:r w:rsidRPr="00267CF4">
        <w:rPr>
          <w:sz w:val="24"/>
          <w:szCs w:val="24"/>
          <w:u w:val="single"/>
        </w:rPr>
        <w:t>Un element cu impact major asupra construcției bugetare pentru anul 2020</w:t>
      </w:r>
      <w:r w:rsidR="00D01508">
        <w:rPr>
          <w:sz w:val="24"/>
          <w:szCs w:val="24"/>
          <w:u w:val="single"/>
        </w:rPr>
        <w:t>,</w:t>
      </w:r>
      <w:r w:rsidRPr="00267CF4">
        <w:rPr>
          <w:sz w:val="24"/>
          <w:szCs w:val="24"/>
          <w:u w:val="single"/>
        </w:rPr>
        <w:t xml:space="preserve"> precum și pentru </w:t>
      </w:r>
      <w:r w:rsidR="00F72AAE" w:rsidRPr="00267CF4">
        <w:rPr>
          <w:sz w:val="24"/>
          <w:szCs w:val="24"/>
          <w:u w:val="single"/>
        </w:rPr>
        <w:t>anii următori este reprezentat de creștere</w:t>
      </w:r>
      <w:r w:rsidR="00927111" w:rsidRPr="00267CF4">
        <w:rPr>
          <w:sz w:val="24"/>
          <w:szCs w:val="24"/>
          <w:u w:val="single"/>
        </w:rPr>
        <w:t>a cheltu</w:t>
      </w:r>
      <w:r w:rsidR="00F72AAE" w:rsidRPr="00267CF4">
        <w:rPr>
          <w:sz w:val="24"/>
          <w:szCs w:val="24"/>
          <w:u w:val="single"/>
        </w:rPr>
        <w:t xml:space="preserve">ielilor aferente bugetului asigurărilor sociale de stat </w:t>
      </w:r>
      <w:r w:rsidR="00F72AAE">
        <w:rPr>
          <w:sz w:val="24"/>
          <w:szCs w:val="24"/>
        </w:rPr>
        <w:t>determinată</w:t>
      </w:r>
      <w:r w:rsidR="00D01508">
        <w:rPr>
          <w:sz w:val="24"/>
          <w:szCs w:val="24"/>
        </w:rPr>
        <w:t>,</w:t>
      </w:r>
      <w:r w:rsidR="00F72AAE">
        <w:rPr>
          <w:sz w:val="24"/>
          <w:szCs w:val="24"/>
        </w:rPr>
        <w:t xml:space="preserve"> pe de o parte</w:t>
      </w:r>
      <w:r w:rsidR="00D01508">
        <w:rPr>
          <w:sz w:val="24"/>
          <w:szCs w:val="24"/>
        </w:rPr>
        <w:t>,</w:t>
      </w:r>
      <w:r w:rsidR="00F72AAE">
        <w:rPr>
          <w:sz w:val="24"/>
          <w:szCs w:val="24"/>
        </w:rPr>
        <w:t xml:space="preserve"> de plata la nivelul întregului an a pensiilor majorate cu 15% la 1 septembrie 2019 (care generează un plus de </w:t>
      </w:r>
      <w:r w:rsidR="007F0D78">
        <w:rPr>
          <w:sz w:val="24"/>
          <w:szCs w:val="24"/>
        </w:rPr>
        <w:t>cheltuieli bugetare</w:t>
      </w:r>
      <w:r w:rsidR="00F72AAE">
        <w:rPr>
          <w:sz w:val="24"/>
          <w:szCs w:val="24"/>
        </w:rPr>
        <w:t xml:space="preserve"> față de anul 2019 de circa 6,4 mld. lei) și, pe de altă parte, de majorarea preconizată de 40% programată să se aplice de la 1 septembrie 2020 (care generează un plus de </w:t>
      </w:r>
      <w:r w:rsidR="007F0D78">
        <w:rPr>
          <w:sz w:val="24"/>
          <w:szCs w:val="24"/>
        </w:rPr>
        <w:t>cheltuieli bugetare</w:t>
      </w:r>
      <w:r w:rsidR="00F72AAE">
        <w:rPr>
          <w:sz w:val="24"/>
          <w:szCs w:val="24"/>
        </w:rPr>
        <w:t xml:space="preserve"> în anul 2020 de 10 mld. lei, corespunzător celor 4 luni de aplicare). Această </w:t>
      </w:r>
      <w:r w:rsidR="00A67590">
        <w:rPr>
          <w:sz w:val="24"/>
          <w:szCs w:val="24"/>
        </w:rPr>
        <w:t>situa</w:t>
      </w:r>
      <w:r w:rsidR="00D01508">
        <w:rPr>
          <w:sz w:val="24"/>
          <w:szCs w:val="24"/>
        </w:rPr>
        <w:t>ț</w:t>
      </w:r>
      <w:r w:rsidR="00A67590">
        <w:rPr>
          <w:sz w:val="24"/>
          <w:szCs w:val="24"/>
        </w:rPr>
        <w:t>ie</w:t>
      </w:r>
      <w:r w:rsidR="00F72AAE">
        <w:rPr>
          <w:sz w:val="24"/>
          <w:szCs w:val="24"/>
        </w:rPr>
        <w:t xml:space="preserve"> comportă mai multe aspecte </w:t>
      </w:r>
      <w:r w:rsidR="00A67590">
        <w:rPr>
          <w:sz w:val="24"/>
          <w:szCs w:val="24"/>
        </w:rPr>
        <w:t>ce complic</w:t>
      </w:r>
      <w:r w:rsidR="00AF2A77">
        <w:rPr>
          <w:sz w:val="24"/>
          <w:szCs w:val="24"/>
        </w:rPr>
        <w:t>ă</w:t>
      </w:r>
      <w:r w:rsidR="00A67590">
        <w:rPr>
          <w:sz w:val="24"/>
          <w:szCs w:val="24"/>
        </w:rPr>
        <w:t xml:space="preserve"> starea bugetului publi</w:t>
      </w:r>
      <w:r w:rsidR="00AF2A77">
        <w:rPr>
          <w:sz w:val="24"/>
          <w:szCs w:val="24"/>
        </w:rPr>
        <w:t>c</w:t>
      </w:r>
      <w:r w:rsidR="00F72AAE">
        <w:rPr>
          <w:sz w:val="24"/>
          <w:szCs w:val="24"/>
        </w:rPr>
        <w:t>:</w:t>
      </w:r>
    </w:p>
    <w:p w14:paraId="36E75F67" w14:textId="78EE40C3" w:rsidR="00111D84" w:rsidRDefault="00111D84" w:rsidP="003B38CB">
      <w:pPr>
        <w:pStyle w:val="ListParagraph"/>
        <w:numPr>
          <w:ilvl w:val="0"/>
          <w:numId w:val="17"/>
        </w:numPr>
        <w:spacing w:after="200" w:line="276" w:lineRule="auto"/>
        <w:jc w:val="both"/>
        <w:rPr>
          <w:sz w:val="24"/>
          <w:szCs w:val="24"/>
        </w:rPr>
      </w:pPr>
      <w:r>
        <w:rPr>
          <w:sz w:val="24"/>
          <w:szCs w:val="24"/>
        </w:rPr>
        <w:t>Majorarea suplimentară de proporții programată pentru 1 septembrie 2020 ar</w:t>
      </w:r>
      <w:r w:rsidR="00A67590">
        <w:rPr>
          <w:sz w:val="24"/>
          <w:szCs w:val="24"/>
        </w:rPr>
        <w:t xml:space="preserve"> av</w:t>
      </w:r>
      <w:r>
        <w:rPr>
          <w:sz w:val="24"/>
          <w:szCs w:val="24"/>
        </w:rPr>
        <w:t>e</w:t>
      </w:r>
      <w:r w:rsidR="00A67590">
        <w:rPr>
          <w:sz w:val="24"/>
          <w:szCs w:val="24"/>
        </w:rPr>
        <w:t>a</w:t>
      </w:r>
      <w:r>
        <w:rPr>
          <w:sz w:val="24"/>
          <w:szCs w:val="24"/>
        </w:rPr>
        <w:t xml:space="preserve"> loc în contextul unui derapaj bugetar </w:t>
      </w:r>
      <w:r w:rsidR="00923962">
        <w:rPr>
          <w:sz w:val="24"/>
          <w:szCs w:val="24"/>
        </w:rPr>
        <w:t>semnificativ</w:t>
      </w:r>
      <w:r>
        <w:rPr>
          <w:sz w:val="24"/>
          <w:szCs w:val="24"/>
        </w:rPr>
        <w:t xml:space="preserve"> deja existent</w:t>
      </w:r>
      <w:r w:rsidR="00A67590">
        <w:rPr>
          <w:sz w:val="24"/>
          <w:szCs w:val="24"/>
        </w:rPr>
        <w:t xml:space="preserve"> (</w:t>
      </w:r>
      <w:r>
        <w:rPr>
          <w:sz w:val="24"/>
          <w:szCs w:val="24"/>
        </w:rPr>
        <w:t>deficitul bugetar depășind</w:t>
      </w:r>
      <w:r w:rsidR="00A67590">
        <w:rPr>
          <w:sz w:val="24"/>
          <w:szCs w:val="24"/>
        </w:rPr>
        <w:t xml:space="preserve"> considerabil</w:t>
      </w:r>
      <w:r>
        <w:rPr>
          <w:sz w:val="24"/>
          <w:szCs w:val="24"/>
        </w:rPr>
        <w:t xml:space="preserve">  pragul de 3% din PIB, dincolo de </w:t>
      </w:r>
      <w:r w:rsidR="00AF2A77">
        <w:rPr>
          <w:sz w:val="24"/>
          <w:szCs w:val="24"/>
        </w:rPr>
        <w:t xml:space="preserve">care se </w:t>
      </w:r>
      <w:r>
        <w:rPr>
          <w:sz w:val="24"/>
          <w:szCs w:val="24"/>
        </w:rPr>
        <w:t>poate declanșa PDE</w:t>
      </w:r>
      <w:r w:rsidR="00A67590">
        <w:rPr>
          <w:sz w:val="24"/>
          <w:szCs w:val="24"/>
        </w:rPr>
        <w:t>)</w:t>
      </w:r>
      <w:r>
        <w:rPr>
          <w:sz w:val="24"/>
          <w:szCs w:val="24"/>
        </w:rPr>
        <w:t>. Chiar și fără această măsură, respectiv în condițiile menținerii valorii de 1</w:t>
      </w:r>
      <w:r w:rsidR="00D01508">
        <w:rPr>
          <w:sz w:val="24"/>
          <w:szCs w:val="24"/>
        </w:rPr>
        <w:t>.</w:t>
      </w:r>
      <w:r>
        <w:rPr>
          <w:sz w:val="24"/>
          <w:szCs w:val="24"/>
        </w:rPr>
        <w:t>265 de lei pentru punctul de pensie pe parcursul întregului an 2020 (ceea ce este echivalent cu o majorare a pensiei medii anuale de circa 8% față de anul 2019), estimarea CF privind deficitul bugetar pentru anul curent este de circa 3,</w:t>
      </w:r>
      <w:r w:rsidR="008F61FD">
        <w:rPr>
          <w:sz w:val="24"/>
          <w:szCs w:val="24"/>
        </w:rPr>
        <w:t>8</w:t>
      </w:r>
      <w:r w:rsidR="007F0D78">
        <w:rPr>
          <w:sz w:val="24"/>
          <w:szCs w:val="24"/>
        </w:rPr>
        <w:t xml:space="preserve"> – </w:t>
      </w:r>
      <w:r w:rsidR="008F61FD">
        <w:rPr>
          <w:sz w:val="24"/>
          <w:szCs w:val="24"/>
        </w:rPr>
        <w:t>4</w:t>
      </w:r>
      <w:r w:rsidR="00D01508">
        <w:rPr>
          <w:sz w:val="24"/>
          <w:szCs w:val="24"/>
        </w:rPr>
        <w:t>,1</w:t>
      </w:r>
      <w:r w:rsidR="007F0D78">
        <w:rPr>
          <w:sz w:val="24"/>
          <w:szCs w:val="24"/>
        </w:rPr>
        <w:t>%</w:t>
      </w:r>
      <w:r>
        <w:rPr>
          <w:sz w:val="24"/>
          <w:szCs w:val="24"/>
        </w:rPr>
        <w:t xml:space="preserve"> din PIB</w:t>
      </w:r>
      <w:r w:rsidR="00E41A5E">
        <w:rPr>
          <w:sz w:val="24"/>
          <w:szCs w:val="24"/>
        </w:rPr>
        <w:t>;</w:t>
      </w:r>
    </w:p>
    <w:p w14:paraId="366F11E9" w14:textId="0FDE6CF4" w:rsidR="00F72AAE" w:rsidRDefault="00111D84" w:rsidP="003B38CB">
      <w:pPr>
        <w:pStyle w:val="ListParagraph"/>
        <w:numPr>
          <w:ilvl w:val="0"/>
          <w:numId w:val="17"/>
        </w:numPr>
        <w:spacing w:after="200" w:line="276" w:lineRule="auto"/>
        <w:jc w:val="both"/>
        <w:rPr>
          <w:sz w:val="24"/>
          <w:szCs w:val="24"/>
        </w:rPr>
      </w:pPr>
      <w:r>
        <w:rPr>
          <w:sz w:val="24"/>
          <w:szCs w:val="24"/>
        </w:rPr>
        <w:t xml:space="preserve">Majorarea </w:t>
      </w:r>
      <w:r w:rsidR="00923962">
        <w:rPr>
          <w:sz w:val="24"/>
          <w:szCs w:val="24"/>
        </w:rPr>
        <w:t>cu</w:t>
      </w:r>
      <w:r w:rsidR="009419DF">
        <w:rPr>
          <w:sz w:val="24"/>
          <w:szCs w:val="24"/>
        </w:rPr>
        <w:t xml:space="preserve"> 40% a </w:t>
      </w:r>
      <w:r>
        <w:rPr>
          <w:sz w:val="24"/>
          <w:szCs w:val="24"/>
        </w:rPr>
        <w:t>punctului de pensie programată</w:t>
      </w:r>
      <w:r w:rsidR="009419DF">
        <w:rPr>
          <w:sz w:val="24"/>
          <w:szCs w:val="24"/>
        </w:rPr>
        <w:t xml:space="preserve"> pentru 1 septembrie 2020, în condițiile unei inflații pro</w:t>
      </w:r>
      <w:r w:rsidR="00A67590">
        <w:rPr>
          <w:sz w:val="24"/>
          <w:szCs w:val="24"/>
        </w:rPr>
        <w:t>gnozate</w:t>
      </w:r>
      <w:r w:rsidR="009419DF">
        <w:rPr>
          <w:sz w:val="24"/>
          <w:szCs w:val="24"/>
        </w:rPr>
        <w:t xml:space="preserve"> sub 4%, ar echivala, de departe, cu cel mai înalt ritm de creștere reală din ultimii 30 de ani. În ultimii 2 ani și jumătate a fost abandonată abordarea bazată pe reguli în ceea ce privește indexarea punctului de pensie, deși aceasta</w:t>
      </w:r>
      <w:r w:rsidR="003438D0">
        <w:rPr>
          <w:b/>
          <w:color w:val="FF0000"/>
          <w:sz w:val="24"/>
          <w:szCs w:val="24"/>
        </w:rPr>
        <w:t xml:space="preserve"> </w:t>
      </w:r>
      <w:r w:rsidR="009419DF">
        <w:rPr>
          <w:sz w:val="24"/>
          <w:szCs w:val="24"/>
        </w:rPr>
        <w:t>este cuprinsă în legislație, în favoarea unei abordări di</w:t>
      </w:r>
      <w:r w:rsidR="00927111">
        <w:rPr>
          <w:sz w:val="24"/>
          <w:szCs w:val="24"/>
        </w:rPr>
        <w:t>s</w:t>
      </w:r>
      <w:r w:rsidR="009419DF">
        <w:rPr>
          <w:sz w:val="24"/>
          <w:szCs w:val="24"/>
        </w:rPr>
        <w:t>creționare care</w:t>
      </w:r>
      <w:r w:rsidR="00E7473D">
        <w:rPr>
          <w:sz w:val="24"/>
          <w:szCs w:val="24"/>
        </w:rPr>
        <w:t xml:space="preserve"> </w:t>
      </w:r>
      <w:r w:rsidR="009419DF">
        <w:rPr>
          <w:sz w:val="24"/>
          <w:szCs w:val="24"/>
        </w:rPr>
        <w:t>implică stabilirea de către Guvern în mod arbitrar a valorii punctului de pensie. În opinia CF, abordarea bazată pe reguli prezintă multiple avantaje, în principal asigurarea sustenabilit</w:t>
      </w:r>
      <w:r w:rsidR="00927111">
        <w:rPr>
          <w:sz w:val="24"/>
          <w:szCs w:val="24"/>
        </w:rPr>
        <w:t>ății bugetu</w:t>
      </w:r>
      <w:r w:rsidR="009419DF">
        <w:rPr>
          <w:sz w:val="24"/>
          <w:szCs w:val="24"/>
        </w:rPr>
        <w:t>lui asigurărilor sociale de stat în particular și a bugetului general consolidat în general, eliminând totodată riscul practicării unor politici inconsistente</w:t>
      </w:r>
      <w:r w:rsidR="00923962">
        <w:rPr>
          <w:sz w:val="24"/>
          <w:szCs w:val="24"/>
        </w:rPr>
        <w:t xml:space="preserve"> </w:t>
      </w:r>
      <w:r w:rsidR="009419DF">
        <w:rPr>
          <w:sz w:val="24"/>
          <w:szCs w:val="24"/>
        </w:rPr>
        <w:t>în tim</w:t>
      </w:r>
      <w:r w:rsidR="00923962">
        <w:rPr>
          <w:sz w:val="24"/>
          <w:szCs w:val="24"/>
        </w:rPr>
        <w:t>p</w:t>
      </w:r>
      <w:r w:rsidR="009419DF">
        <w:rPr>
          <w:sz w:val="24"/>
          <w:szCs w:val="24"/>
        </w:rPr>
        <w:t>, cu rezultate suboptime pe termen lung.</w:t>
      </w:r>
    </w:p>
    <w:p w14:paraId="1413CAB6" w14:textId="5E2B6FCE" w:rsidR="00485C4E" w:rsidRDefault="00485C4E" w:rsidP="003B38CB">
      <w:pPr>
        <w:spacing w:after="200" w:line="276" w:lineRule="auto"/>
        <w:jc w:val="both"/>
        <w:rPr>
          <w:sz w:val="24"/>
          <w:szCs w:val="24"/>
        </w:rPr>
      </w:pPr>
      <w:r w:rsidRPr="00267CF4">
        <w:rPr>
          <w:b/>
          <w:sz w:val="24"/>
          <w:szCs w:val="24"/>
        </w:rPr>
        <w:t xml:space="preserve">Implementarea </w:t>
      </w:r>
      <w:r w:rsidR="009419DF" w:rsidRPr="00267CF4">
        <w:rPr>
          <w:b/>
          <w:sz w:val="24"/>
          <w:szCs w:val="24"/>
        </w:rPr>
        <w:t xml:space="preserve">acestei majorări de la 1 septembrie 2020, cuprinsă în </w:t>
      </w:r>
      <w:r w:rsidR="003C16A0" w:rsidRPr="00267CF4">
        <w:rPr>
          <w:b/>
          <w:sz w:val="24"/>
          <w:szCs w:val="24"/>
        </w:rPr>
        <w:t xml:space="preserve">proiectul de </w:t>
      </w:r>
      <w:r w:rsidR="009419DF" w:rsidRPr="00267CF4">
        <w:rPr>
          <w:b/>
          <w:sz w:val="24"/>
          <w:szCs w:val="24"/>
        </w:rPr>
        <w:t>buget, are implicații majore nu doar asupra anului curent, ci mai cu seamă pe termen mediu</w:t>
      </w:r>
      <w:r w:rsidR="009419DF" w:rsidRPr="00485C4E">
        <w:rPr>
          <w:sz w:val="24"/>
          <w:szCs w:val="24"/>
        </w:rPr>
        <w:t xml:space="preserve">. Astfel, </w:t>
      </w:r>
      <w:r w:rsidRPr="00485C4E">
        <w:rPr>
          <w:sz w:val="24"/>
          <w:szCs w:val="24"/>
        </w:rPr>
        <w:t xml:space="preserve">aplicarea pe întregul an 2021 a acestei măsuri generează cheltuieli suplimentare față de anul 2020 de peste 22 mld. lei, în </w:t>
      </w:r>
      <w:r w:rsidR="00D02275">
        <w:rPr>
          <w:sz w:val="24"/>
          <w:szCs w:val="24"/>
        </w:rPr>
        <w:t xml:space="preserve">timp ce </w:t>
      </w:r>
      <w:r w:rsidRPr="00485C4E">
        <w:rPr>
          <w:sz w:val="24"/>
          <w:szCs w:val="24"/>
        </w:rPr>
        <w:t>alt</w:t>
      </w:r>
      <w:r>
        <w:rPr>
          <w:sz w:val="24"/>
          <w:szCs w:val="24"/>
        </w:rPr>
        <w:t>e</w:t>
      </w:r>
      <w:r w:rsidRPr="00485C4E">
        <w:rPr>
          <w:sz w:val="24"/>
          <w:szCs w:val="24"/>
        </w:rPr>
        <w:t xml:space="preserve"> prevederi</w:t>
      </w:r>
      <w:r w:rsidR="00D02275">
        <w:rPr>
          <w:rStyle w:val="FootnoteReference"/>
          <w:sz w:val="24"/>
          <w:szCs w:val="24"/>
        </w:rPr>
        <w:footnoteReference w:id="4"/>
      </w:r>
      <w:r w:rsidRPr="00485C4E">
        <w:rPr>
          <w:sz w:val="24"/>
          <w:szCs w:val="24"/>
        </w:rPr>
        <w:t xml:space="preserve"> </w:t>
      </w:r>
      <w:r>
        <w:rPr>
          <w:sz w:val="24"/>
          <w:szCs w:val="24"/>
        </w:rPr>
        <w:t xml:space="preserve">din noua lege a pensiilor – care întră în vigoare la 1 </w:t>
      </w:r>
      <w:r w:rsidR="003C16A0">
        <w:rPr>
          <w:sz w:val="24"/>
          <w:szCs w:val="24"/>
        </w:rPr>
        <w:t>septe</w:t>
      </w:r>
      <w:r>
        <w:rPr>
          <w:sz w:val="24"/>
          <w:szCs w:val="24"/>
        </w:rPr>
        <w:t>mbrie 2021 – generează costuri adiționale</w:t>
      </w:r>
      <w:r w:rsidR="00D02275">
        <w:rPr>
          <w:sz w:val="24"/>
          <w:szCs w:val="24"/>
        </w:rPr>
        <w:t xml:space="preserve"> de circa 11 mld. lei. Împreună, acestea generează un plus de </w:t>
      </w:r>
      <w:r w:rsidR="007F0D78">
        <w:rPr>
          <w:sz w:val="24"/>
          <w:szCs w:val="24"/>
        </w:rPr>
        <w:t>cheltuieli bugetare</w:t>
      </w:r>
      <w:r w:rsidR="00D02275">
        <w:rPr>
          <w:sz w:val="24"/>
          <w:szCs w:val="24"/>
        </w:rPr>
        <w:t xml:space="preserve"> față de anul 2020 de circa 33 mld. lei. Considerând ponderea în PIB a agregatului asistență socială, aceasta se </w:t>
      </w:r>
      <w:r w:rsidR="00D02275">
        <w:rPr>
          <w:sz w:val="24"/>
          <w:szCs w:val="24"/>
        </w:rPr>
        <w:lastRenderedPageBreak/>
        <w:t xml:space="preserve">majorează </w:t>
      </w:r>
      <w:r w:rsidR="003C16A0">
        <w:rPr>
          <w:sz w:val="24"/>
          <w:szCs w:val="24"/>
        </w:rPr>
        <w:t xml:space="preserve">continuu </w:t>
      </w:r>
      <w:r w:rsidR="00D02275">
        <w:rPr>
          <w:sz w:val="24"/>
          <w:szCs w:val="24"/>
        </w:rPr>
        <w:t xml:space="preserve">față </w:t>
      </w:r>
      <w:r w:rsidR="003C16A0">
        <w:rPr>
          <w:sz w:val="24"/>
          <w:szCs w:val="24"/>
        </w:rPr>
        <w:t xml:space="preserve">de anul anterior </w:t>
      </w:r>
      <w:r w:rsidR="00D02275">
        <w:rPr>
          <w:sz w:val="24"/>
          <w:szCs w:val="24"/>
        </w:rPr>
        <w:t xml:space="preserve">cu: 0,6 pp din PIB în anul 2020, cu </w:t>
      </w:r>
      <w:r w:rsidR="003C16A0">
        <w:rPr>
          <w:sz w:val="24"/>
          <w:szCs w:val="24"/>
        </w:rPr>
        <w:t>1,85</w:t>
      </w:r>
      <w:r w:rsidR="00D02275">
        <w:rPr>
          <w:sz w:val="24"/>
          <w:szCs w:val="24"/>
        </w:rPr>
        <w:t xml:space="preserve"> pp din PIB</w:t>
      </w:r>
      <w:r w:rsidR="003C16A0">
        <w:rPr>
          <w:sz w:val="24"/>
          <w:szCs w:val="24"/>
        </w:rPr>
        <w:t xml:space="preserve"> în anul 2021 și respectiv 0,85 pp din PIB în anul 2022. </w:t>
      </w:r>
      <w:r w:rsidR="00DF4101">
        <w:rPr>
          <w:sz w:val="24"/>
          <w:szCs w:val="24"/>
        </w:rPr>
        <w:t>Dincolo de situația dificilă a BGC aferentă anului în curs, aplicarea noii legi a pensiilor potrivit calendarului actual adâncește semnificativ și permanent derapajul existent.</w:t>
      </w:r>
      <w:r w:rsidR="00DF4101" w:rsidRPr="00150840">
        <w:t xml:space="preserve"> </w:t>
      </w:r>
      <w:r w:rsidR="00DF4101" w:rsidRPr="00150840">
        <w:rPr>
          <w:sz w:val="24"/>
          <w:szCs w:val="24"/>
        </w:rPr>
        <w:t>Este dificil de imaginat cum o astfel de evoluție poate fi</w:t>
      </w:r>
      <w:r w:rsidR="00DF4101">
        <w:rPr>
          <w:sz w:val="24"/>
          <w:szCs w:val="24"/>
        </w:rPr>
        <w:t xml:space="preserve"> </w:t>
      </w:r>
      <w:r w:rsidR="00DF4101" w:rsidRPr="00150840">
        <w:rPr>
          <w:sz w:val="24"/>
          <w:szCs w:val="24"/>
        </w:rPr>
        <w:t>consistentă</w:t>
      </w:r>
      <w:r w:rsidR="00DF4101">
        <w:rPr>
          <w:sz w:val="24"/>
          <w:szCs w:val="24"/>
        </w:rPr>
        <w:t xml:space="preserve"> cu reducerea deficitului bugetar și apropierea acestuia de pragul de 3%, ceea ce reprezintă intenția declarată a autorităților.</w:t>
      </w:r>
      <w:r w:rsidR="00A67590">
        <w:rPr>
          <w:sz w:val="24"/>
          <w:szCs w:val="24"/>
        </w:rPr>
        <w:t xml:space="preserve"> </w:t>
      </w:r>
      <w:r w:rsidR="00923962">
        <w:rPr>
          <w:sz w:val="24"/>
          <w:szCs w:val="24"/>
        </w:rPr>
        <w:t>Ș</w:t>
      </w:r>
      <w:r w:rsidR="00A67590">
        <w:rPr>
          <w:sz w:val="24"/>
          <w:szCs w:val="24"/>
        </w:rPr>
        <w:t>i c</w:t>
      </w:r>
      <w:r w:rsidR="00923962">
        <w:rPr>
          <w:sz w:val="24"/>
          <w:szCs w:val="24"/>
        </w:rPr>
        <w:t>e</w:t>
      </w:r>
      <w:r w:rsidR="00A67590">
        <w:rPr>
          <w:sz w:val="24"/>
          <w:szCs w:val="24"/>
        </w:rPr>
        <w:t>ea</w:t>
      </w:r>
      <w:r w:rsidR="00130E23">
        <w:rPr>
          <w:sz w:val="24"/>
          <w:szCs w:val="24"/>
        </w:rPr>
        <w:t xml:space="preserve"> </w:t>
      </w:r>
      <w:r w:rsidR="00A67590">
        <w:rPr>
          <w:sz w:val="24"/>
          <w:szCs w:val="24"/>
        </w:rPr>
        <w:t>ce</w:t>
      </w:r>
      <w:r w:rsidR="00130E23">
        <w:rPr>
          <w:sz w:val="24"/>
          <w:szCs w:val="24"/>
        </w:rPr>
        <w:t xml:space="preserve"> </w:t>
      </w:r>
      <w:r w:rsidR="00A67590">
        <w:rPr>
          <w:sz w:val="24"/>
          <w:szCs w:val="24"/>
        </w:rPr>
        <w:t>conteaz</w:t>
      </w:r>
      <w:r w:rsidR="00130E23">
        <w:rPr>
          <w:sz w:val="24"/>
          <w:szCs w:val="24"/>
        </w:rPr>
        <w:t>ă</w:t>
      </w:r>
      <w:r w:rsidR="00A67590">
        <w:rPr>
          <w:sz w:val="24"/>
          <w:szCs w:val="24"/>
        </w:rPr>
        <w:t xml:space="preserve"> mai mult, ar destabiliza economia autohton</w:t>
      </w:r>
      <w:r w:rsidR="00130E23">
        <w:rPr>
          <w:sz w:val="24"/>
          <w:szCs w:val="24"/>
        </w:rPr>
        <w:t>ă</w:t>
      </w:r>
      <w:r w:rsidR="00A67590">
        <w:rPr>
          <w:sz w:val="24"/>
          <w:szCs w:val="24"/>
        </w:rPr>
        <w:t xml:space="preserve"> oblig</w:t>
      </w:r>
      <w:r w:rsidR="00130E23">
        <w:rPr>
          <w:sz w:val="24"/>
          <w:szCs w:val="24"/>
        </w:rPr>
        <w:t>â</w:t>
      </w:r>
      <w:r w:rsidR="00A67590">
        <w:rPr>
          <w:sz w:val="24"/>
          <w:szCs w:val="24"/>
        </w:rPr>
        <w:t>nd la un mo</w:t>
      </w:r>
      <w:r w:rsidR="00130E23">
        <w:rPr>
          <w:sz w:val="24"/>
          <w:szCs w:val="24"/>
        </w:rPr>
        <w:t>m</w:t>
      </w:r>
      <w:r w:rsidR="00A67590">
        <w:rPr>
          <w:sz w:val="24"/>
          <w:szCs w:val="24"/>
        </w:rPr>
        <w:t xml:space="preserve">ent dat </w:t>
      </w:r>
      <w:r w:rsidR="00130E23">
        <w:rPr>
          <w:sz w:val="24"/>
          <w:szCs w:val="24"/>
        </w:rPr>
        <w:t>la a</w:t>
      </w:r>
      <w:r w:rsidR="00A67590">
        <w:rPr>
          <w:sz w:val="24"/>
          <w:szCs w:val="24"/>
        </w:rPr>
        <w:t>p</w:t>
      </w:r>
      <w:r w:rsidR="00130E23">
        <w:rPr>
          <w:sz w:val="24"/>
          <w:szCs w:val="24"/>
        </w:rPr>
        <w:t>l</w:t>
      </w:r>
      <w:r w:rsidR="00A67590">
        <w:rPr>
          <w:sz w:val="24"/>
          <w:szCs w:val="24"/>
        </w:rPr>
        <w:t>icarea unor corec</w:t>
      </w:r>
      <w:r w:rsidR="00130E23">
        <w:rPr>
          <w:sz w:val="24"/>
          <w:szCs w:val="24"/>
        </w:rPr>
        <w:t>ț</w:t>
      </w:r>
      <w:r w:rsidR="00A67590">
        <w:rPr>
          <w:sz w:val="24"/>
          <w:szCs w:val="24"/>
        </w:rPr>
        <w:t>ii foarte dureroase economi</w:t>
      </w:r>
      <w:r w:rsidR="00130E23">
        <w:rPr>
          <w:sz w:val="24"/>
          <w:szCs w:val="24"/>
        </w:rPr>
        <w:t>c</w:t>
      </w:r>
      <w:r w:rsidR="00A67590">
        <w:rPr>
          <w:sz w:val="24"/>
          <w:szCs w:val="24"/>
        </w:rPr>
        <w:t xml:space="preserve"> </w:t>
      </w:r>
      <w:r w:rsidR="00130E23">
        <w:rPr>
          <w:sz w:val="24"/>
          <w:szCs w:val="24"/>
        </w:rPr>
        <w:t>ș</w:t>
      </w:r>
      <w:r w:rsidR="00A67590">
        <w:rPr>
          <w:sz w:val="24"/>
          <w:szCs w:val="24"/>
        </w:rPr>
        <w:t>i social.</w:t>
      </w:r>
    </w:p>
    <w:p w14:paraId="1EBFFFA1" w14:textId="784863A0" w:rsidR="00A67590" w:rsidRDefault="00CB2467" w:rsidP="003B38CB">
      <w:pPr>
        <w:spacing w:after="200" w:line="276" w:lineRule="auto"/>
        <w:jc w:val="both"/>
        <w:rPr>
          <w:sz w:val="24"/>
          <w:szCs w:val="24"/>
        </w:rPr>
      </w:pPr>
      <w:r w:rsidRPr="00267CF4">
        <w:rPr>
          <w:sz w:val="24"/>
          <w:szCs w:val="24"/>
          <w:u w:val="single"/>
        </w:rPr>
        <w:t xml:space="preserve">Considerând </w:t>
      </w:r>
      <w:r w:rsidR="00A67590" w:rsidRPr="00267CF4">
        <w:rPr>
          <w:sz w:val="24"/>
          <w:szCs w:val="24"/>
          <w:u w:val="single"/>
        </w:rPr>
        <w:t>cele expuse</w:t>
      </w:r>
      <w:r w:rsidRPr="00267CF4">
        <w:rPr>
          <w:sz w:val="24"/>
          <w:szCs w:val="24"/>
          <w:u w:val="single"/>
        </w:rPr>
        <w:t xml:space="preserve"> </w:t>
      </w:r>
      <w:r w:rsidR="00E41A5E">
        <w:rPr>
          <w:sz w:val="24"/>
          <w:szCs w:val="24"/>
          <w:u w:val="single"/>
        </w:rPr>
        <w:t xml:space="preserve">mai </w:t>
      </w:r>
      <w:r w:rsidRPr="00267CF4">
        <w:rPr>
          <w:sz w:val="24"/>
          <w:szCs w:val="24"/>
          <w:u w:val="single"/>
        </w:rPr>
        <w:t xml:space="preserve">sus, estimarea CF privind nivelul deficitului bugetar pentru anul 2020 este de 4,6 </w:t>
      </w:r>
      <w:r w:rsidR="007F0D78" w:rsidRPr="00267CF4">
        <w:rPr>
          <w:sz w:val="24"/>
          <w:szCs w:val="24"/>
          <w:u w:val="single"/>
        </w:rPr>
        <w:t>–</w:t>
      </w:r>
      <w:r w:rsidRPr="00267CF4">
        <w:rPr>
          <w:sz w:val="24"/>
          <w:szCs w:val="24"/>
          <w:u w:val="single"/>
        </w:rPr>
        <w:t xml:space="preserve"> 4,8% din PIB, rezultând astfel un ecart față de ținta MFP de </w:t>
      </w:r>
      <w:r w:rsidR="0020111C">
        <w:rPr>
          <w:sz w:val="24"/>
          <w:szCs w:val="24"/>
          <w:u w:val="single"/>
        </w:rPr>
        <w:t>1</w:t>
      </w:r>
      <w:r w:rsidRPr="00267CF4">
        <w:rPr>
          <w:sz w:val="24"/>
          <w:szCs w:val="24"/>
          <w:u w:val="single"/>
        </w:rPr>
        <w:t xml:space="preserve"> – 1</w:t>
      </w:r>
      <w:r w:rsidR="0020111C">
        <w:rPr>
          <w:sz w:val="24"/>
          <w:szCs w:val="24"/>
          <w:u w:val="single"/>
        </w:rPr>
        <w:t>,2</w:t>
      </w:r>
      <w:r w:rsidR="00D01508">
        <w:rPr>
          <w:sz w:val="24"/>
          <w:szCs w:val="24"/>
          <w:u w:val="single"/>
        </w:rPr>
        <w:t xml:space="preserve"> pp</w:t>
      </w:r>
      <w:r w:rsidRPr="00267CF4">
        <w:rPr>
          <w:sz w:val="24"/>
          <w:szCs w:val="24"/>
          <w:u w:val="single"/>
        </w:rPr>
        <w:t xml:space="preserve"> din PIB</w:t>
      </w:r>
      <w:r w:rsidR="00A67590">
        <w:rPr>
          <w:sz w:val="24"/>
          <w:szCs w:val="24"/>
          <w:u w:val="single"/>
        </w:rPr>
        <w:t>,</w:t>
      </w:r>
      <w:r w:rsidR="00A67590" w:rsidRPr="00267CF4">
        <w:rPr>
          <w:sz w:val="24"/>
          <w:szCs w:val="24"/>
        </w:rPr>
        <w:t xml:space="preserve"> ceea </w:t>
      </w:r>
      <w:r w:rsidR="00A67590" w:rsidRPr="00913B35">
        <w:rPr>
          <w:sz w:val="24"/>
          <w:szCs w:val="24"/>
        </w:rPr>
        <w:t>ce</w:t>
      </w:r>
      <w:r>
        <w:rPr>
          <w:sz w:val="24"/>
          <w:szCs w:val="24"/>
        </w:rPr>
        <w:t xml:space="preserve"> reclamă măsuri suplimentare</w:t>
      </w:r>
      <w:r w:rsidR="00A67590">
        <w:rPr>
          <w:sz w:val="24"/>
          <w:szCs w:val="24"/>
        </w:rPr>
        <w:t xml:space="preserve"> </w:t>
      </w:r>
      <w:r w:rsidR="00D01508">
        <w:rPr>
          <w:sz w:val="24"/>
          <w:szCs w:val="24"/>
        </w:rPr>
        <w:t>ș</w:t>
      </w:r>
      <w:r w:rsidR="00A67590">
        <w:rPr>
          <w:sz w:val="24"/>
          <w:szCs w:val="24"/>
        </w:rPr>
        <w:t>i ferme</w:t>
      </w:r>
      <w:r>
        <w:rPr>
          <w:sz w:val="24"/>
          <w:szCs w:val="24"/>
        </w:rPr>
        <w:t xml:space="preserve"> de consolidare</w:t>
      </w:r>
      <w:r w:rsidR="00A67590">
        <w:rPr>
          <w:sz w:val="24"/>
          <w:szCs w:val="24"/>
        </w:rPr>
        <w:t xml:space="preserve"> bugetar</w:t>
      </w:r>
      <w:r w:rsidR="00AF2A77">
        <w:rPr>
          <w:sz w:val="24"/>
          <w:szCs w:val="24"/>
        </w:rPr>
        <w:t>ă</w:t>
      </w:r>
      <w:r>
        <w:rPr>
          <w:sz w:val="24"/>
          <w:szCs w:val="24"/>
        </w:rPr>
        <w:t xml:space="preserve">. </w:t>
      </w:r>
    </w:p>
    <w:p w14:paraId="2654FB74" w14:textId="00405320" w:rsidR="00DF4101" w:rsidRPr="00DF4101" w:rsidRDefault="00A67590" w:rsidP="003B38CB">
      <w:pPr>
        <w:spacing w:after="200" w:line="276" w:lineRule="auto"/>
        <w:jc w:val="both"/>
        <w:rPr>
          <w:sz w:val="24"/>
          <w:szCs w:val="24"/>
        </w:rPr>
      </w:pPr>
      <w:r>
        <w:rPr>
          <w:sz w:val="24"/>
          <w:szCs w:val="24"/>
        </w:rPr>
        <w:t>B</w:t>
      </w:r>
      <w:r w:rsidR="00CB2467">
        <w:rPr>
          <w:sz w:val="24"/>
          <w:szCs w:val="24"/>
        </w:rPr>
        <w:t xml:space="preserve">alanța riscurilor pare înclinată, în opinia CF, pe partea negativă, respectiv înregistrarea unui deficit bugetar mai ridicat, presiuni suplimentare asupra bugetului </w:t>
      </w:r>
      <w:r w:rsidR="0001128B">
        <w:rPr>
          <w:sz w:val="24"/>
          <w:szCs w:val="24"/>
        </w:rPr>
        <w:t>putând să apară din: înregistrarea unor evoluții economice mai nefavorabile la nivel internațional, aplicarea deciziei de dublare a alocațiilor, prorogată până la 1 august, cu un impact la nivelul anului 2020 de 2,9 mld. lei, înregist</w:t>
      </w:r>
      <w:r w:rsidR="00AF6A62">
        <w:rPr>
          <w:sz w:val="24"/>
          <w:szCs w:val="24"/>
        </w:rPr>
        <w:t>r</w:t>
      </w:r>
      <w:r w:rsidR="0001128B">
        <w:rPr>
          <w:sz w:val="24"/>
          <w:szCs w:val="24"/>
        </w:rPr>
        <w:t>area un</w:t>
      </w:r>
      <w:r w:rsidR="00AF6A62">
        <w:rPr>
          <w:sz w:val="24"/>
          <w:szCs w:val="24"/>
        </w:rPr>
        <w:t>ei cre</w:t>
      </w:r>
      <w:r w:rsidR="00D01508">
        <w:rPr>
          <w:sz w:val="24"/>
          <w:szCs w:val="24"/>
        </w:rPr>
        <w:t>ș</w:t>
      </w:r>
      <w:r w:rsidR="00AF6A62">
        <w:rPr>
          <w:sz w:val="24"/>
          <w:szCs w:val="24"/>
        </w:rPr>
        <w:t>teri</w:t>
      </w:r>
      <w:r w:rsidR="0001128B">
        <w:rPr>
          <w:sz w:val="24"/>
          <w:szCs w:val="24"/>
        </w:rPr>
        <w:t xml:space="preserve">  mai alert</w:t>
      </w:r>
      <w:r w:rsidR="00AF6A62">
        <w:rPr>
          <w:sz w:val="24"/>
          <w:szCs w:val="24"/>
        </w:rPr>
        <w:t>e</w:t>
      </w:r>
      <w:r w:rsidR="0001128B">
        <w:rPr>
          <w:sz w:val="24"/>
          <w:szCs w:val="24"/>
        </w:rPr>
        <w:t xml:space="preserve"> a cheltuielilor cu bunuri și servicii. În sens opus ar putea acționa o reducere a cheltuielilor de investiții, dar este puțin probabil ca aceast</w:t>
      </w:r>
      <w:r w:rsidR="00D01508">
        <w:rPr>
          <w:sz w:val="24"/>
          <w:szCs w:val="24"/>
        </w:rPr>
        <w:t>a</w:t>
      </w:r>
      <w:r w:rsidR="0001128B">
        <w:rPr>
          <w:sz w:val="24"/>
          <w:szCs w:val="24"/>
        </w:rPr>
        <w:t xml:space="preserve"> să poată acomoda o eventuală manifestare a riscurilor </w:t>
      </w:r>
      <w:r w:rsidR="00682C5D">
        <w:rPr>
          <w:sz w:val="24"/>
          <w:szCs w:val="24"/>
        </w:rPr>
        <w:t>descrise anterior</w:t>
      </w:r>
      <w:r w:rsidR="0001128B">
        <w:rPr>
          <w:sz w:val="24"/>
          <w:szCs w:val="24"/>
        </w:rPr>
        <w:t xml:space="preserve">. </w:t>
      </w:r>
    </w:p>
    <w:p w14:paraId="28860059" w14:textId="77777777" w:rsidR="0001128B" w:rsidRDefault="0001128B" w:rsidP="003B38CB">
      <w:pPr>
        <w:spacing w:after="200" w:line="276" w:lineRule="auto"/>
        <w:jc w:val="both"/>
        <w:rPr>
          <w:b/>
          <w:i/>
          <w:sz w:val="24"/>
          <w:szCs w:val="24"/>
        </w:rPr>
      </w:pPr>
    </w:p>
    <w:p w14:paraId="5E9412E0" w14:textId="6F4C4972" w:rsidR="00873AA7" w:rsidRDefault="0053364C" w:rsidP="003B38CB">
      <w:pPr>
        <w:spacing w:after="200" w:line="276" w:lineRule="auto"/>
        <w:jc w:val="both"/>
        <w:rPr>
          <w:b/>
          <w:i/>
          <w:sz w:val="24"/>
          <w:szCs w:val="24"/>
        </w:rPr>
      </w:pPr>
      <w:r w:rsidRPr="00485C4E">
        <w:rPr>
          <w:b/>
          <w:i/>
          <w:sz w:val="24"/>
          <w:szCs w:val="24"/>
        </w:rPr>
        <w:t>Perspective fiscal-bugetare pe termen mediu</w:t>
      </w:r>
    </w:p>
    <w:p w14:paraId="53C38CC1" w14:textId="0FFBBA3B" w:rsidR="00865AAF" w:rsidRDefault="008908BB" w:rsidP="003B38CB">
      <w:pPr>
        <w:spacing w:after="200" w:line="276" w:lineRule="auto"/>
        <w:jc w:val="both"/>
        <w:rPr>
          <w:sz w:val="24"/>
          <w:szCs w:val="24"/>
        </w:rPr>
      </w:pPr>
      <w:r>
        <w:rPr>
          <w:sz w:val="24"/>
          <w:szCs w:val="24"/>
        </w:rPr>
        <w:t>Considerând cadrul fiscal-bugetar pe termen mediu, CF identifică următoarele aspecte problematice:</w:t>
      </w:r>
    </w:p>
    <w:p w14:paraId="6DF32F1F" w14:textId="78E60EE2" w:rsidR="00865AAF" w:rsidRPr="00865AAF" w:rsidRDefault="00865AAF" w:rsidP="003B38CB">
      <w:pPr>
        <w:pStyle w:val="ListParagraph"/>
        <w:numPr>
          <w:ilvl w:val="0"/>
          <w:numId w:val="21"/>
        </w:numPr>
        <w:spacing w:after="200" w:line="276" w:lineRule="auto"/>
        <w:jc w:val="both"/>
        <w:rPr>
          <w:sz w:val="24"/>
          <w:szCs w:val="24"/>
        </w:rPr>
      </w:pPr>
      <w:r w:rsidRPr="00BD7577">
        <w:rPr>
          <w:sz w:val="24"/>
          <w:szCs w:val="24"/>
        </w:rPr>
        <w:t>Similar obiecției</w:t>
      </w:r>
      <w:r w:rsidR="005E35E8" w:rsidRPr="00BD7577">
        <w:rPr>
          <w:sz w:val="24"/>
          <w:szCs w:val="24"/>
        </w:rPr>
        <w:t xml:space="preserve"> </w:t>
      </w:r>
      <w:r w:rsidRPr="008908BB">
        <w:rPr>
          <w:sz w:val="24"/>
          <w:szCs w:val="24"/>
        </w:rPr>
        <w:t xml:space="preserve">CF </w:t>
      </w:r>
      <w:r>
        <w:rPr>
          <w:sz w:val="24"/>
          <w:szCs w:val="24"/>
        </w:rPr>
        <w:t>asupra proiectului de buget pentru anul 2020, modificările de taxe adoptate ulterior legii bugetului (reducerea accizelor la produse energetice, eliminarea supra-impozitării contractelor cu timp parțial de muncă, a taxei pe activele bancare și a taxării suplimentare a sectorului energetic, dar și majorarea accizei la țigarete) afectează</w:t>
      </w:r>
      <w:r w:rsidR="00D01508">
        <w:rPr>
          <w:sz w:val="24"/>
          <w:szCs w:val="24"/>
        </w:rPr>
        <w:t xml:space="preserve"> ș</w:t>
      </w:r>
      <w:r>
        <w:rPr>
          <w:sz w:val="24"/>
          <w:szCs w:val="24"/>
        </w:rPr>
        <w:t>i proiecția veniturilor bugetare pe termen mediu, respectiv acestea vor fi mai reduse cu circa 0,5 pp din PIB</w:t>
      </w:r>
      <w:r w:rsidR="007D48A3">
        <w:rPr>
          <w:sz w:val="24"/>
          <w:szCs w:val="24"/>
        </w:rPr>
        <w:t>;</w:t>
      </w:r>
    </w:p>
    <w:p w14:paraId="35DF27FA" w14:textId="6E5B3483" w:rsidR="00865AAF" w:rsidRDefault="00865AAF" w:rsidP="003B38CB">
      <w:pPr>
        <w:pStyle w:val="ListParagraph"/>
        <w:numPr>
          <w:ilvl w:val="0"/>
          <w:numId w:val="21"/>
        </w:numPr>
        <w:spacing w:after="200" w:line="276" w:lineRule="auto"/>
        <w:jc w:val="both"/>
        <w:rPr>
          <w:sz w:val="24"/>
          <w:szCs w:val="24"/>
        </w:rPr>
      </w:pPr>
      <w:r w:rsidRPr="00865AAF">
        <w:rPr>
          <w:sz w:val="24"/>
          <w:szCs w:val="24"/>
        </w:rPr>
        <w:t>Potri</w:t>
      </w:r>
      <w:r>
        <w:rPr>
          <w:sz w:val="24"/>
          <w:szCs w:val="24"/>
        </w:rPr>
        <w:t>vit evaluării CF, punctul de plecare al proiecției bugetare, respectiv execuția bugetară aferentă anului 2019</w:t>
      </w:r>
      <w:r w:rsidR="00EA7748">
        <w:rPr>
          <w:rStyle w:val="FootnoteReference"/>
          <w:sz w:val="24"/>
          <w:szCs w:val="24"/>
        </w:rPr>
        <w:footnoteReference w:id="5"/>
      </w:r>
      <w:r>
        <w:rPr>
          <w:sz w:val="24"/>
          <w:szCs w:val="24"/>
        </w:rPr>
        <w:t>, este mai nefavorabilă cu cel puțin circa 0,2 pp la nivelul veniturilor bugetare și cu circa 0,25 pp la nivelul cheltuielilor bugetare. Astfel, în lipsa unor măsuri compensatorii, deficitele bugetare pe termen mediu vor fi mai ridicate cu 0,45 pp din PIB</w:t>
      </w:r>
      <w:r w:rsidR="007D48A3">
        <w:rPr>
          <w:sz w:val="24"/>
          <w:szCs w:val="24"/>
        </w:rPr>
        <w:t>;</w:t>
      </w:r>
    </w:p>
    <w:p w14:paraId="7EEEA84D" w14:textId="29DD3AC7" w:rsidR="00865AAF" w:rsidRPr="007902CC" w:rsidRDefault="00865AAF" w:rsidP="003B38CB">
      <w:pPr>
        <w:pStyle w:val="ListParagraph"/>
        <w:numPr>
          <w:ilvl w:val="0"/>
          <w:numId w:val="21"/>
        </w:numPr>
        <w:spacing w:after="200" w:line="276" w:lineRule="auto"/>
        <w:jc w:val="both"/>
        <w:rPr>
          <w:sz w:val="24"/>
          <w:szCs w:val="24"/>
        </w:rPr>
      </w:pPr>
      <w:r>
        <w:rPr>
          <w:sz w:val="24"/>
          <w:szCs w:val="24"/>
        </w:rPr>
        <w:t xml:space="preserve">În opinia CF, impactul noii legii a pensiilor este luat în considerare doar parțial în proiecția bugetară pe termen mediu, </w:t>
      </w:r>
      <w:r w:rsidRPr="00226ED6">
        <w:rPr>
          <w:b/>
          <w:sz w:val="24"/>
          <w:szCs w:val="24"/>
        </w:rPr>
        <w:t>cheltuielile cu asistența socială apărând drept subevaluate cu circa 1,3 pp</w:t>
      </w:r>
      <w:r w:rsidR="00AF6A62">
        <w:rPr>
          <w:b/>
          <w:sz w:val="24"/>
          <w:szCs w:val="24"/>
        </w:rPr>
        <w:t xml:space="preserve"> din PIB</w:t>
      </w:r>
      <w:r w:rsidRPr="00226ED6">
        <w:rPr>
          <w:b/>
          <w:sz w:val="24"/>
          <w:szCs w:val="24"/>
        </w:rPr>
        <w:t xml:space="preserve"> în anul 2021</w:t>
      </w:r>
      <w:r w:rsidR="002E51D9">
        <w:rPr>
          <w:b/>
          <w:sz w:val="24"/>
          <w:szCs w:val="24"/>
        </w:rPr>
        <w:t xml:space="preserve">, </w:t>
      </w:r>
      <w:r w:rsidRPr="00226ED6">
        <w:rPr>
          <w:b/>
          <w:sz w:val="24"/>
          <w:szCs w:val="24"/>
        </w:rPr>
        <w:t>respectiv cu 2,4 pp</w:t>
      </w:r>
      <w:r w:rsidR="00D502EE">
        <w:rPr>
          <w:b/>
          <w:sz w:val="24"/>
          <w:szCs w:val="24"/>
        </w:rPr>
        <w:t xml:space="preserve"> din PIB</w:t>
      </w:r>
      <w:r w:rsidRPr="00226ED6">
        <w:rPr>
          <w:b/>
          <w:sz w:val="24"/>
          <w:szCs w:val="24"/>
        </w:rPr>
        <w:t xml:space="preserve"> în anul 2022</w:t>
      </w:r>
      <w:r w:rsidR="007D48A3">
        <w:rPr>
          <w:b/>
          <w:sz w:val="24"/>
          <w:szCs w:val="24"/>
        </w:rPr>
        <w:t>;</w:t>
      </w:r>
    </w:p>
    <w:p w14:paraId="51A394DB" w14:textId="7B21C9C2" w:rsidR="007902CC" w:rsidRPr="007902CC" w:rsidRDefault="007902CC" w:rsidP="003B38CB">
      <w:pPr>
        <w:pStyle w:val="ListParagraph"/>
        <w:numPr>
          <w:ilvl w:val="0"/>
          <w:numId w:val="21"/>
        </w:numPr>
        <w:spacing w:after="200" w:line="276" w:lineRule="auto"/>
        <w:jc w:val="both"/>
        <w:rPr>
          <w:sz w:val="24"/>
          <w:szCs w:val="24"/>
        </w:rPr>
      </w:pPr>
      <w:r w:rsidRPr="007902CC">
        <w:rPr>
          <w:sz w:val="24"/>
          <w:szCs w:val="24"/>
        </w:rPr>
        <w:lastRenderedPageBreak/>
        <w:t>Alte surse de risc în viziunea CF: proiecția macroeconomică foarte optimistă dincolo de anul 2020, net superioară celei a instituțiilor financiare internaționale, o ajustare ambițioasă și care nu este însoțită de măsurile detaliate care să o susțină a cheltuielilor de capital și a celor cu bunuri și servicii</w:t>
      </w:r>
      <w:r w:rsidR="00D01508">
        <w:rPr>
          <w:sz w:val="24"/>
          <w:szCs w:val="24"/>
        </w:rPr>
        <w:t>,</w:t>
      </w:r>
      <w:r w:rsidRPr="007902CC">
        <w:rPr>
          <w:sz w:val="24"/>
          <w:szCs w:val="24"/>
        </w:rPr>
        <w:t xml:space="preserve"> precum și cheltuieli suplimentare determinate de o eventuală majorare substanțială a alocațiilor pentru copii. În sens contrar, ar putea acționa manifestarea unor rezultate palpabile ale măsurilor deja întreprinse de ANAF</w:t>
      </w:r>
      <w:r w:rsidR="004C101F">
        <w:rPr>
          <w:sz w:val="24"/>
          <w:szCs w:val="24"/>
        </w:rPr>
        <w:t>,</w:t>
      </w:r>
      <w:r w:rsidRPr="007902CC">
        <w:rPr>
          <w:sz w:val="24"/>
          <w:szCs w:val="24"/>
        </w:rPr>
        <w:t xml:space="preserve"> precum și ale celor ce urmează să fie adoptate în vederea creșterii gradului de colectare, existând spațiu în acest sens. </w:t>
      </w:r>
    </w:p>
    <w:p w14:paraId="0AA7CB80" w14:textId="723C0FD2" w:rsidR="00DF4101" w:rsidRPr="00FE6AC8" w:rsidRDefault="00913B35" w:rsidP="003B38CB">
      <w:pPr>
        <w:spacing w:after="200" w:line="276" w:lineRule="auto"/>
        <w:jc w:val="both"/>
        <w:rPr>
          <w:sz w:val="24"/>
          <w:szCs w:val="24"/>
        </w:rPr>
      </w:pPr>
      <w:r>
        <w:rPr>
          <w:sz w:val="24"/>
          <w:szCs w:val="24"/>
        </w:rPr>
        <w:t>C</w:t>
      </w:r>
      <w:r w:rsidR="00DF4101" w:rsidRPr="00FE6AC8">
        <w:rPr>
          <w:sz w:val="24"/>
          <w:szCs w:val="24"/>
        </w:rPr>
        <w:t>onsiderând perspectivele fiscal-bugetare pe termen mediu, CF apreciază că nu au fost adoptate măsuri credibile suficiente pentru reducerea derapajului bugetar potrivit traiectoriei anunțate de autorități, mai mult</w:t>
      </w:r>
      <w:r w:rsidR="00D01508">
        <w:rPr>
          <w:sz w:val="24"/>
          <w:szCs w:val="24"/>
        </w:rPr>
        <w:t>,</w:t>
      </w:r>
      <w:r w:rsidR="00DF4101" w:rsidRPr="00CB2467">
        <w:rPr>
          <w:sz w:val="24"/>
          <w:szCs w:val="24"/>
        </w:rPr>
        <w:t xml:space="preserve"> acesta adâncindu-se semnificativ.</w:t>
      </w:r>
      <w:r w:rsidR="00DF4101" w:rsidRPr="00FE6AC8">
        <w:rPr>
          <w:sz w:val="24"/>
          <w:szCs w:val="24"/>
        </w:rPr>
        <w:t xml:space="preserve"> </w:t>
      </w:r>
      <w:r w:rsidR="00DF4101" w:rsidRPr="00FE6AC8">
        <w:rPr>
          <w:b/>
          <w:sz w:val="24"/>
          <w:szCs w:val="24"/>
        </w:rPr>
        <w:t>Astfel, considerând politici neschimbate, CF apreciază drept probabil</w:t>
      </w:r>
      <w:r w:rsidR="00CB2467" w:rsidRPr="00FE6AC8">
        <w:rPr>
          <w:b/>
          <w:sz w:val="24"/>
          <w:szCs w:val="24"/>
        </w:rPr>
        <w:t>e</w:t>
      </w:r>
      <w:r w:rsidR="00DF4101" w:rsidRPr="00FE6AC8">
        <w:rPr>
          <w:b/>
          <w:sz w:val="24"/>
          <w:szCs w:val="24"/>
        </w:rPr>
        <w:t xml:space="preserve"> </w:t>
      </w:r>
      <w:r w:rsidR="00CB2467" w:rsidRPr="00FE6AC8">
        <w:rPr>
          <w:b/>
          <w:sz w:val="24"/>
          <w:szCs w:val="24"/>
        </w:rPr>
        <w:t>niveluri ale deficitului bugetar de peste 6% din PIB în anul 2021 și respectiv peste 7% din PIB în anul 2022.</w:t>
      </w:r>
      <w:r w:rsidR="00AF6A62">
        <w:rPr>
          <w:b/>
          <w:sz w:val="24"/>
          <w:szCs w:val="24"/>
        </w:rPr>
        <w:t xml:space="preserve"> Este de re</w:t>
      </w:r>
      <w:r>
        <w:rPr>
          <w:b/>
          <w:sz w:val="24"/>
          <w:szCs w:val="24"/>
        </w:rPr>
        <w:t xml:space="preserve">iterat </w:t>
      </w:r>
      <w:r w:rsidR="00AF6A62">
        <w:rPr>
          <w:b/>
          <w:sz w:val="24"/>
          <w:szCs w:val="24"/>
        </w:rPr>
        <w:t>c</w:t>
      </w:r>
      <w:r>
        <w:rPr>
          <w:b/>
          <w:sz w:val="24"/>
          <w:szCs w:val="24"/>
        </w:rPr>
        <w:t>ă</w:t>
      </w:r>
      <w:r w:rsidR="00AF6A62">
        <w:rPr>
          <w:b/>
          <w:sz w:val="24"/>
          <w:szCs w:val="24"/>
        </w:rPr>
        <w:t xml:space="preserve"> asemenea niveluri ale deficitului bugetar </w:t>
      </w:r>
      <w:r w:rsidR="00767F02">
        <w:rPr>
          <w:b/>
          <w:sz w:val="24"/>
          <w:szCs w:val="24"/>
        </w:rPr>
        <w:t>sunt</w:t>
      </w:r>
      <w:r w:rsidR="00AF6A62">
        <w:rPr>
          <w:b/>
          <w:sz w:val="24"/>
          <w:szCs w:val="24"/>
        </w:rPr>
        <w:t xml:space="preserve"> g</w:t>
      </w:r>
      <w:r w:rsidR="00EE18C2">
        <w:rPr>
          <w:b/>
          <w:sz w:val="24"/>
          <w:szCs w:val="24"/>
        </w:rPr>
        <w:t>reu de imaginat ca fiind tolerabile</w:t>
      </w:r>
      <w:r w:rsidR="00767F02">
        <w:rPr>
          <w:b/>
          <w:sz w:val="24"/>
          <w:szCs w:val="24"/>
        </w:rPr>
        <w:t xml:space="preserve"> de</w:t>
      </w:r>
      <w:r w:rsidR="00EE18C2">
        <w:rPr>
          <w:b/>
          <w:sz w:val="24"/>
          <w:szCs w:val="24"/>
        </w:rPr>
        <w:t xml:space="preserve"> către</w:t>
      </w:r>
      <w:r w:rsidR="00767F02">
        <w:rPr>
          <w:b/>
          <w:sz w:val="24"/>
          <w:szCs w:val="24"/>
        </w:rPr>
        <w:t xml:space="preserve"> pie</w:t>
      </w:r>
      <w:r>
        <w:rPr>
          <w:b/>
          <w:sz w:val="24"/>
          <w:szCs w:val="24"/>
        </w:rPr>
        <w:t>ț</w:t>
      </w:r>
      <w:r w:rsidR="00767F02">
        <w:rPr>
          <w:b/>
          <w:sz w:val="24"/>
          <w:szCs w:val="24"/>
        </w:rPr>
        <w:t>e, de realitatea economic</w:t>
      </w:r>
      <w:r>
        <w:rPr>
          <w:b/>
          <w:sz w:val="24"/>
          <w:szCs w:val="24"/>
        </w:rPr>
        <w:t>ă</w:t>
      </w:r>
      <w:r w:rsidR="00EE18C2">
        <w:rPr>
          <w:b/>
          <w:sz w:val="24"/>
          <w:szCs w:val="24"/>
        </w:rPr>
        <w:t xml:space="preserve"> în general</w:t>
      </w:r>
      <w:r w:rsidR="00973648">
        <w:rPr>
          <w:b/>
          <w:sz w:val="24"/>
          <w:szCs w:val="24"/>
        </w:rPr>
        <w:t>, ce este</w:t>
      </w:r>
      <w:r w:rsidR="00767F02">
        <w:rPr>
          <w:b/>
          <w:sz w:val="24"/>
          <w:szCs w:val="24"/>
        </w:rPr>
        <w:t xml:space="preserve"> influen</w:t>
      </w:r>
      <w:r>
        <w:rPr>
          <w:b/>
          <w:sz w:val="24"/>
          <w:szCs w:val="24"/>
        </w:rPr>
        <w:t>țată</w:t>
      </w:r>
      <w:r w:rsidR="00767F02">
        <w:rPr>
          <w:b/>
          <w:sz w:val="24"/>
          <w:szCs w:val="24"/>
        </w:rPr>
        <w:t xml:space="preserve"> masiv  de contextul interna</w:t>
      </w:r>
      <w:r w:rsidR="00D01508">
        <w:rPr>
          <w:b/>
          <w:sz w:val="24"/>
          <w:szCs w:val="24"/>
        </w:rPr>
        <w:t>ț</w:t>
      </w:r>
      <w:r w:rsidR="00767F02">
        <w:rPr>
          <w:b/>
          <w:sz w:val="24"/>
          <w:szCs w:val="24"/>
        </w:rPr>
        <w:t>ional</w:t>
      </w:r>
      <w:r w:rsidR="00973648">
        <w:rPr>
          <w:b/>
          <w:sz w:val="24"/>
          <w:szCs w:val="24"/>
        </w:rPr>
        <w:t xml:space="preserve"> tot mai ince</w:t>
      </w:r>
      <w:r>
        <w:rPr>
          <w:b/>
          <w:sz w:val="24"/>
          <w:szCs w:val="24"/>
        </w:rPr>
        <w:t>r</w:t>
      </w:r>
      <w:r w:rsidR="00973648">
        <w:rPr>
          <w:b/>
          <w:sz w:val="24"/>
          <w:szCs w:val="24"/>
        </w:rPr>
        <w:t xml:space="preserve">t </w:t>
      </w:r>
      <w:r>
        <w:rPr>
          <w:b/>
          <w:sz w:val="24"/>
          <w:szCs w:val="24"/>
        </w:rPr>
        <w:t>ș</w:t>
      </w:r>
      <w:r w:rsidR="00973648">
        <w:rPr>
          <w:b/>
          <w:sz w:val="24"/>
          <w:szCs w:val="24"/>
        </w:rPr>
        <w:t>i complicat</w:t>
      </w:r>
      <w:r w:rsidR="00767F02">
        <w:rPr>
          <w:b/>
          <w:sz w:val="24"/>
          <w:szCs w:val="24"/>
        </w:rPr>
        <w:t>;</w:t>
      </w:r>
      <w:r w:rsidR="00AF6A62">
        <w:rPr>
          <w:b/>
          <w:sz w:val="24"/>
          <w:szCs w:val="24"/>
        </w:rPr>
        <w:t xml:space="preserve"> </w:t>
      </w:r>
      <w:r>
        <w:rPr>
          <w:b/>
          <w:sz w:val="24"/>
          <w:szCs w:val="24"/>
        </w:rPr>
        <w:t>î</w:t>
      </w:r>
      <w:r w:rsidR="00767F02">
        <w:rPr>
          <w:b/>
          <w:sz w:val="24"/>
          <w:szCs w:val="24"/>
        </w:rPr>
        <w:t>nainte de a</w:t>
      </w:r>
      <w:r w:rsidR="00AF6A62">
        <w:rPr>
          <w:b/>
          <w:sz w:val="24"/>
          <w:szCs w:val="24"/>
        </w:rPr>
        <w:t xml:space="preserve"> fi</w:t>
      </w:r>
      <w:r w:rsidR="00767F02">
        <w:rPr>
          <w:b/>
          <w:sz w:val="24"/>
          <w:szCs w:val="24"/>
        </w:rPr>
        <w:t xml:space="preserve"> atinse asemenea praguri ar fi</w:t>
      </w:r>
      <w:r w:rsidR="00AF6A62">
        <w:rPr>
          <w:b/>
          <w:sz w:val="24"/>
          <w:szCs w:val="24"/>
        </w:rPr>
        <w:t xml:space="preserve"> induse corec</w:t>
      </w:r>
      <w:r>
        <w:rPr>
          <w:b/>
          <w:sz w:val="24"/>
          <w:szCs w:val="24"/>
        </w:rPr>
        <w:t>ț</w:t>
      </w:r>
      <w:r w:rsidR="00AF6A62">
        <w:rPr>
          <w:b/>
          <w:sz w:val="24"/>
          <w:szCs w:val="24"/>
        </w:rPr>
        <w:t>ii</w:t>
      </w:r>
      <w:r w:rsidR="00767F02">
        <w:rPr>
          <w:b/>
          <w:sz w:val="24"/>
          <w:szCs w:val="24"/>
        </w:rPr>
        <w:t xml:space="preserve"> ale deficitului</w:t>
      </w:r>
      <w:r w:rsidR="00AF6A62">
        <w:rPr>
          <w:b/>
          <w:sz w:val="24"/>
          <w:szCs w:val="24"/>
        </w:rPr>
        <w:t xml:space="preserve"> </w:t>
      </w:r>
      <w:r w:rsidR="00EE18C2">
        <w:rPr>
          <w:b/>
          <w:sz w:val="24"/>
          <w:szCs w:val="24"/>
        </w:rPr>
        <w:t xml:space="preserve">– </w:t>
      </w:r>
      <w:r w:rsidR="00AF6A62">
        <w:rPr>
          <w:b/>
          <w:sz w:val="24"/>
          <w:szCs w:val="24"/>
        </w:rPr>
        <w:t>ce ar fi cu at</w:t>
      </w:r>
      <w:r>
        <w:rPr>
          <w:b/>
          <w:sz w:val="24"/>
          <w:szCs w:val="24"/>
        </w:rPr>
        <w:t>â</w:t>
      </w:r>
      <w:r w:rsidR="00AF6A62">
        <w:rPr>
          <w:b/>
          <w:sz w:val="24"/>
          <w:szCs w:val="24"/>
        </w:rPr>
        <w:t>t mai durero</w:t>
      </w:r>
      <w:r w:rsidR="00D01508">
        <w:rPr>
          <w:b/>
          <w:sz w:val="24"/>
          <w:szCs w:val="24"/>
        </w:rPr>
        <w:t>a</w:t>
      </w:r>
      <w:r w:rsidR="00AF6A62">
        <w:rPr>
          <w:b/>
          <w:sz w:val="24"/>
          <w:szCs w:val="24"/>
        </w:rPr>
        <w:t>se cu c</w:t>
      </w:r>
      <w:r>
        <w:rPr>
          <w:b/>
          <w:sz w:val="24"/>
          <w:szCs w:val="24"/>
        </w:rPr>
        <w:t>â</w:t>
      </w:r>
      <w:r w:rsidR="00AF6A62">
        <w:rPr>
          <w:b/>
          <w:sz w:val="24"/>
          <w:szCs w:val="24"/>
        </w:rPr>
        <w:t xml:space="preserve">t ar fi mai </w:t>
      </w:r>
      <w:r>
        <w:rPr>
          <w:b/>
          <w:sz w:val="24"/>
          <w:szCs w:val="24"/>
        </w:rPr>
        <w:t>în</w:t>
      </w:r>
      <w:r w:rsidR="00973648">
        <w:rPr>
          <w:b/>
          <w:sz w:val="24"/>
          <w:szCs w:val="24"/>
        </w:rPr>
        <w:t>t</w:t>
      </w:r>
      <w:r>
        <w:rPr>
          <w:b/>
          <w:sz w:val="24"/>
          <w:szCs w:val="24"/>
        </w:rPr>
        <w:t>â</w:t>
      </w:r>
      <w:r w:rsidR="00973648">
        <w:rPr>
          <w:b/>
          <w:sz w:val="24"/>
          <w:szCs w:val="24"/>
        </w:rPr>
        <w:t>rzi</w:t>
      </w:r>
      <w:r>
        <w:rPr>
          <w:b/>
          <w:sz w:val="24"/>
          <w:szCs w:val="24"/>
        </w:rPr>
        <w:t>ate</w:t>
      </w:r>
      <w:r w:rsidR="00AF6A62">
        <w:rPr>
          <w:b/>
          <w:sz w:val="24"/>
          <w:szCs w:val="24"/>
        </w:rPr>
        <w:t>.</w:t>
      </w:r>
    </w:p>
    <w:p w14:paraId="4D0724B9" w14:textId="77777777" w:rsidR="00913B35" w:rsidRPr="00DF4101" w:rsidRDefault="00913B35" w:rsidP="003B38CB">
      <w:pPr>
        <w:spacing w:after="200" w:line="276" w:lineRule="auto"/>
        <w:jc w:val="both"/>
        <w:rPr>
          <w:b/>
          <w:sz w:val="24"/>
          <w:szCs w:val="24"/>
        </w:rPr>
      </w:pPr>
    </w:p>
    <w:p w14:paraId="4A3E587F" w14:textId="54D5ED62" w:rsidR="00873AA7" w:rsidRPr="00DE14E3" w:rsidRDefault="00873AA7" w:rsidP="003B38CB">
      <w:pPr>
        <w:spacing w:after="200" w:line="276" w:lineRule="auto"/>
        <w:jc w:val="both"/>
        <w:rPr>
          <w:b/>
          <w:i/>
          <w:sz w:val="24"/>
          <w:szCs w:val="24"/>
        </w:rPr>
      </w:pPr>
      <w:r>
        <w:rPr>
          <w:b/>
          <w:i/>
          <w:sz w:val="24"/>
          <w:szCs w:val="24"/>
        </w:rPr>
        <w:t>Concluzii</w:t>
      </w:r>
    </w:p>
    <w:p w14:paraId="44A8E057" w14:textId="3CE3D694" w:rsidR="003C453C" w:rsidRDefault="00BC3852" w:rsidP="003B38CB">
      <w:pPr>
        <w:widowControl w:val="0"/>
        <w:spacing w:after="200" w:line="276" w:lineRule="auto"/>
        <w:jc w:val="both"/>
        <w:rPr>
          <w:rFonts w:cs="Calibri"/>
          <w:bCs/>
          <w:sz w:val="24"/>
          <w:szCs w:val="24"/>
        </w:rPr>
      </w:pPr>
      <w:r>
        <w:rPr>
          <w:rFonts w:cs="Calibri"/>
          <w:bCs/>
          <w:sz w:val="24"/>
          <w:szCs w:val="24"/>
        </w:rPr>
        <w:t xml:space="preserve">Depășirea </w:t>
      </w:r>
      <w:r w:rsidR="00767F02">
        <w:rPr>
          <w:rFonts w:cs="Calibri"/>
          <w:bCs/>
          <w:sz w:val="24"/>
          <w:szCs w:val="24"/>
        </w:rPr>
        <w:t>considerabil</w:t>
      </w:r>
      <w:r>
        <w:rPr>
          <w:rFonts w:cs="Calibri"/>
          <w:bCs/>
          <w:sz w:val="24"/>
          <w:szCs w:val="24"/>
        </w:rPr>
        <w:t xml:space="preserve">ă a pragului de 3% pentru deficitul bugetar, estimată </w:t>
      </w:r>
      <w:r w:rsidR="00386049">
        <w:rPr>
          <w:rFonts w:cs="Calibri"/>
          <w:bCs/>
          <w:sz w:val="24"/>
          <w:szCs w:val="24"/>
        </w:rPr>
        <w:t>a</w:t>
      </w:r>
      <w:r>
        <w:rPr>
          <w:rFonts w:cs="Calibri"/>
          <w:bCs/>
          <w:sz w:val="24"/>
          <w:szCs w:val="24"/>
        </w:rPr>
        <w:t xml:space="preserve"> se fi produs în anul 2019, persistă în anul 2020</w:t>
      </w:r>
      <w:r w:rsidR="009C4BB1">
        <w:rPr>
          <w:rFonts w:cs="Calibri"/>
          <w:bCs/>
          <w:sz w:val="24"/>
          <w:szCs w:val="24"/>
        </w:rPr>
        <w:t>,</w:t>
      </w:r>
      <w:r>
        <w:rPr>
          <w:rFonts w:cs="Calibri"/>
          <w:bCs/>
          <w:sz w:val="24"/>
          <w:szCs w:val="24"/>
        </w:rPr>
        <w:t xml:space="preserve"> precum și pe termen mediu</w:t>
      </w:r>
      <w:r w:rsidR="00767F02">
        <w:rPr>
          <w:rFonts w:cs="Calibri"/>
          <w:bCs/>
          <w:sz w:val="24"/>
          <w:szCs w:val="24"/>
        </w:rPr>
        <w:t xml:space="preserve"> </w:t>
      </w:r>
      <w:r w:rsidR="009C4BB1">
        <w:rPr>
          <w:rFonts w:cs="Calibri"/>
          <w:bCs/>
          <w:sz w:val="24"/>
          <w:szCs w:val="24"/>
        </w:rPr>
        <w:t>î</w:t>
      </w:r>
      <w:r w:rsidR="00767F02">
        <w:rPr>
          <w:rFonts w:cs="Calibri"/>
          <w:bCs/>
          <w:sz w:val="24"/>
          <w:szCs w:val="24"/>
        </w:rPr>
        <w:t>n condi</w:t>
      </w:r>
      <w:r w:rsidR="009C4BB1">
        <w:rPr>
          <w:rFonts w:cs="Calibri"/>
          <w:bCs/>
          <w:sz w:val="24"/>
          <w:szCs w:val="24"/>
        </w:rPr>
        <w:t>ț</w:t>
      </w:r>
      <w:r w:rsidR="00767F02">
        <w:rPr>
          <w:rFonts w:cs="Calibri"/>
          <w:bCs/>
          <w:sz w:val="24"/>
          <w:szCs w:val="24"/>
        </w:rPr>
        <w:t>iile date</w:t>
      </w:r>
      <w:r>
        <w:rPr>
          <w:rFonts w:cs="Calibri"/>
          <w:bCs/>
          <w:sz w:val="24"/>
          <w:szCs w:val="24"/>
        </w:rPr>
        <w:t>. Deși proiectul de buget pentru anul 20</w:t>
      </w:r>
      <w:r w:rsidR="003C453C">
        <w:rPr>
          <w:rFonts w:cs="Calibri"/>
          <w:bCs/>
          <w:sz w:val="24"/>
          <w:szCs w:val="24"/>
        </w:rPr>
        <w:t>20</w:t>
      </w:r>
      <w:r>
        <w:rPr>
          <w:rFonts w:cs="Calibri"/>
          <w:bCs/>
          <w:sz w:val="24"/>
          <w:szCs w:val="24"/>
        </w:rPr>
        <w:t xml:space="preserve"> </w:t>
      </w:r>
      <w:r w:rsidR="003C453C">
        <w:rPr>
          <w:rFonts w:cs="Calibri"/>
          <w:bCs/>
          <w:sz w:val="24"/>
          <w:szCs w:val="24"/>
        </w:rPr>
        <w:t>are</w:t>
      </w:r>
      <w:r>
        <w:rPr>
          <w:rFonts w:cs="Calibri"/>
          <w:bCs/>
          <w:sz w:val="24"/>
          <w:szCs w:val="24"/>
        </w:rPr>
        <w:t xml:space="preserve"> în vedere o reducere a derapajului bugetar, </w:t>
      </w:r>
      <w:r w:rsidR="003C453C">
        <w:rPr>
          <w:rFonts w:cs="Calibri"/>
          <w:bCs/>
          <w:sz w:val="24"/>
          <w:szCs w:val="24"/>
        </w:rPr>
        <w:t>sc</w:t>
      </w:r>
      <w:r w:rsidR="00913B35">
        <w:rPr>
          <w:rFonts w:cs="Calibri"/>
          <w:bCs/>
          <w:sz w:val="24"/>
          <w:szCs w:val="24"/>
        </w:rPr>
        <w:t>ă</w:t>
      </w:r>
      <w:r w:rsidR="003C453C">
        <w:rPr>
          <w:rFonts w:cs="Calibri"/>
          <w:bCs/>
          <w:sz w:val="24"/>
          <w:szCs w:val="24"/>
        </w:rPr>
        <w:t>de</w:t>
      </w:r>
      <w:r>
        <w:rPr>
          <w:rFonts w:cs="Calibri"/>
          <w:bCs/>
          <w:sz w:val="24"/>
          <w:szCs w:val="24"/>
        </w:rPr>
        <w:t xml:space="preserve">rile de </w:t>
      </w:r>
      <w:r w:rsidR="008A2056">
        <w:rPr>
          <w:rFonts w:cs="Calibri"/>
          <w:bCs/>
          <w:sz w:val="24"/>
          <w:szCs w:val="24"/>
        </w:rPr>
        <w:t>impozite</w:t>
      </w:r>
      <w:r>
        <w:rPr>
          <w:rFonts w:cs="Calibri"/>
          <w:bCs/>
          <w:sz w:val="24"/>
          <w:szCs w:val="24"/>
        </w:rPr>
        <w:t xml:space="preserve"> operate la scurt timp după adoptarea legii bugetului, precum și slăbiciuni suplimentare ale execuției bugetare pe anul 2019</w:t>
      </w:r>
      <w:r w:rsidR="00767F02">
        <w:rPr>
          <w:rFonts w:cs="Calibri"/>
          <w:bCs/>
          <w:sz w:val="24"/>
          <w:szCs w:val="24"/>
        </w:rPr>
        <w:t>,</w:t>
      </w:r>
      <w:r>
        <w:rPr>
          <w:rFonts w:cs="Calibri"/>
          <w:bCs/>
          <w:sz w:val="24"/>
          <w:szCs w:val="24"/>
        </w:rPr>
        <w:t xml:space="preserve"> comparativ cu parametrii aprobați prin cea de-a doua rectificare bugetară</w:t>
      </w:r>
      <w:r w:rsidR="00767F02">
        <w:rPr>
          <w:rFonts w:cs="Calibri"/>
          <w:bCs/>
          <w:sz w:val="24"/>
          <w:szCs w:val="24"/>
        </w:rPr>
        <w:t>,</w:t>
      </w:r>
      <w:r>
        <w:rPr>
          <w:rFonts w:cs="Calibri"/>
          <w:bCs/>
          <w:sz w:val="24"/>
          <w:szCs w:val="24"/>
        </w:rPr>
        <w:t xml:space="preserve"> conduc la o </w:t>
      </w:r>
      <w:r w:rsidR="00767F02">
        <w:rPr>
          <w:rFonts w:cs="Calibri"/>
          <w:bCs/>
          <w:sz w:val="24"/>
          <w:szCs w:val="24"/>
        </w:rPr>
        <w:t>probabil</w:t>
      </w:r>
      <w:r w:rsidR="009C4BB1">
        <w:rPr>
          <w:rFonts w:cs="Calibri"/>
          <w:bCs/>
          <w:sz w:val="24"/>
          <w:szCs w:val="24"/>
        </w:rPr>
        <w:t>ă</w:t>
      </w:r>
      <w:r w:rsidR="00767F02">
        <w:rPr>
          <w:rFonts w:cs="Calibri"/>
          <w:bCs/>
          <w:sz w:val="24"/>
          <w:szCs w:val="24"/>
        </w:rPr>
        <w:t xml:space="preserve"> </w:t>
      </w:r>
      <w:r>
        <w:rPr>
          <w:rFonts w:cs="Calibri"/>
          <w:bCs/>
          <w:sz w:val="24"/>
          <w:szCs w:val="24"/>
        </w:rPr>
        <w:t>adâncire</w:t>
      </w:r>
      <w:r w:rsidR="00767F02">
        <w:rPr>
          <w:rFonts w:cs="Calibri"/>
          <w:bCs/>
          <w:sz w:val="24"/>
          <w:szCs w:val="24"/>
        </w:rPr>
        <w:t xml:space="preserve"> </w:t>
      </w:r>
      <w:r>
        <w:rPr>
          <w:rFonts w:cs="Calibri"/>
          <w:bCs/>
          <w:sz w:val="24"/>
          <w:szCs w:val="24"/>
        </w:rPr>
        <w:t>a d</w:t>
      </w:r>
      <w:r w:rsidR="00D20CCA">
        <w:rPr>
          <w:rFonts w:cs="Calibri"/>
          <w:bCs/>
          <w:sz w:val="24"/>
          <w:szCs w:val="24"/>
        </w:rPr>
        <w:t>ezechilibrulu</w:t>
      </w:r>
      <w:r>
        <w:rPr>
          <w:rFonts w:cs="Calibri"/>
          <w:bCs/>
          <w:sz w:val="24"/>
          <w:szCs w:val="24"/>
        </w:rPr>
        <w:t xml:space="preserve">i bugetar în anul 2020. </w:t>
      </w:r>
    </w:p>
    <w:p w14:paraId="75171243" w14:textId="0EAFF014" w:rsidR="00767F02" w:rsidRDefault="00BC3852" w:rsidP="003B38CB">
      <w:pPr>
        <w:widowControl w:val="0"/>
        <w:spacing w:after="200" w:line="276" w:lineRule="auto"/>
        <w:jc w:val="both"/>
        <w:rPr>
          <w:sz w:val="24"/>
          <w:szCs w:val="24"/>
        </w:rPr>
      </w:pPr>
      <w:r>
        <w:rPr>
          <w:rFonts w:cs="Calibri"/>
          <w:bCs/>
          <w:sz w:val="24"/>
          <w:szCs w:val="24"/>
        </w:rPr>
        <w:t xml:space="preserve">Considerând informațiile disponibile în acest moment, </w:t>
      </w:r>
      <w:r w:rsidRPr="008D0404">
        <w:rPr>
          <w:b/>
          <w:sz w:val="24"/>
          <w:szCs w:val="24"/>
        </w:rPr>
        <w:t xml:space="preserve">CF </w:t>
      </w:r>
      <w:r w:rsidR="003C453C">
        <w:rPr>
          <w:b/>
          <w:sz w:val="24"/>
          <w:szCs w:val="24"/>
        </w:rPr>
        <w:t>estimeaz</w:t>
      </w:r>
      <w:r w:rsidRPr="008D0404">
        <w:rPr>
          <w:b/>
          <w:sz w:val="24"/>
          <w:szCs w:val="24"/>
        </w:rPr>
        <w:t xml:space="preserve">ă </w:t>
      </w:r>
      <w:r>
        <w:rPr>
          <w:b/>
          <w:sz w:val="24"/>
          <w:szCs w:val="24"/>
        </w:rPr>
        <w:t>un nivel probabil al deficitului bugetar pentru anul 2020 cu</w:t>
      </w:r>
      <w:r w:rsidR="00B7139A">
        <w:rPr>
          <w:b/>
          <w:sz w:val="24"/>
          <w:szCs w:val="24"/>
        </w:rPr>
        <w:t>prins între 4,6 – 4,8% din PIB</w:t>
      </w:r>
      <w:r w:rsidR="00913B35">
        <w:rPr>
          <w:b/>
          <w:sz w:val="24"/>
          <w:szCs w:val="24"/>
        </w:rPr>
        <w:t>.</w:t>
      </w:r>
      <w:r w:rsidR="003C453C" w:rsidRPr="003C453C">
        <w:rPr>
          <w:b/>
          <w:sz w:val="24"/>
          <w:szCs w:val="24"/>
        </w:rPr>
        <w:t xml:space="preserve"> </w:t>
      </w:r>
      <w:r w:rsidR="00B7139A" w:rsidRPr="00B7139A">
        <w:rPr>
          <w:sz w:val="24"/>
          <w:szCs w:val="24"/>
        </w:rPr>
        <w:t>Ecartul față de ținta de 3,6% din proiectul de buget provine din:</w:t>
      </w:r>
      <w:r w:rsidR="00B7139A">
        <w:rPr>
          <w:sz w:val="24"/>
          <w:szCs w:val="24"/>
        </w:rPr>
        <w:t xml:space="preserve"> i) 0,45 pp din PIB din deteriorarea peste așteptări</w:t>
      </w:r>
      <w:r w:rsidR="00767F02">
        <w:rPr>
          <w:sz w:val="24"/>
          <w:szCs w:val="24"/>
        </w:rPr>
        <w:t xml:space="preserve"> probabil</w:t>
      </w:r>
      <w:r w:rsidR="00913B35">
        <w:rPr>
          <w:sz w:val="24"/>
          <w:szCs w:val="24"/>
        </w:rPr>
        <w:t>ă</w:t>
      </w:r>
      <w:r w:rsidR="00B7139A">
        <w:rPr>
          <w:sz w:val="24"/>
          <w:szCs w:val="24"/>
        </w:rPr>
        <w:t xml:space="preserve"> a execuției bugetare aferente anului 2019</w:t>
      </w:r>
      <w:r w:rsidR="00767F02">
        <w:rPr>
          <w:sz w:val="24"/>
          <w:szCs w:val="24"/>
        </w:rPr>
        <w:t>,</w:t>
      </w:r>
      <w:r w:rsidR="00B7139A">
        <w:rPr>
          <w:sz w:val="24"/>
          <w:szCs w:val="24"/>
        </w:rPr>
        <w:t xml:space="preserve"> care reprezintă punctul de plecare în construcțiile bugetare subsecvente; ii) 0,5 pp din modificarea taxelor și impozitelor ulterio</w:t>
      </w:r>
      <w:r w:rsidR="00913B35">
        <w:rPr>
          <w:sz w:val="24"/>
          <w:szCs w:val="24"/>
        </w:rPr>
        <w:t>r</w:t>
      </w:r>
      <w:r w:rsidR="00767F02">
        <w:rPr>
          <w:sz w:val="24"/>
          <w:szCs w:val="24"/>
        </w:rPr>
        <w:t xml:space="preserve"> adopt</w:t>
      </w:r>
      <w:r w:rsidR="00913B35">
        <w:rPr>
          <w:sz w:val="24"/>
          <w:szCs w:val="24"/>
        </w:rPr>
        <w:t>ă</w:t>
      </w:r>
      <w:r w:rsidR="00767F02">
        <w:rPr>
          <w:sz w:val="24"/>
          <w:szCs w:val="24"/>
        </w:rPr>
        <w:t>rii proiectului de buget pentru 2020</w:t>
      </w:r>
      <w:r w:rsidR="00B7139A">
        <w:rPr>
          <w:sz w:val="24"/>
          <w:szCs w:val="24"/>
        </w:rPr>
        <w:t>; iii) 0,15 pp în ipoteza un</w:t>
      </w:r>
      <w:r w:rsidR="00913B35">
        <w:rPr>
          <w:sz w:val="24"/>
          <w:szCs w:val="24"/>
        </w:rPr>
        <w:t>e</w:t>
      </w:r>
      <w:r w:rsidR="00B7139A">
        <w:rPr>
          <w:sz w:val="24"/>
          <w:szCs w:val="24"/>
        </w:rPr>
        <w:t xml:space="preserve">i proiecții macroeconomice mai </w:t>
      </w:r>
      <w:r w:rsidR="00767F02">
        <w:rPr>
          <w:sz w:val="24"/>
          <w:szCs w:val="24"/>
        </w:rPr>
        <w:t>plauzibile (</w:t>
      </w:r>
      <w:r w:rsidR="00B7139A">
        <w:rPr>
          <w:sz w:val="24"/>
          <w:szCs w:val="24"/>
        </w:rPr>
        <w:t>prudente</w:t>
      </w:r>
      <w:r w:rsidR="00767F02">
        <w:rPr>
          <w:sz w:val="24"/>
          <w:szCs w:val="24"/>
        </w:rPr>
        <w:t>)</w:t>
      </w:r>
      <w:r w:rsidR="00B7139A">
        <w:rPr>
          <w:sz w:val="24"/>
          <w:szCs w:val="24"/>
        </w:rPr>
        <w:t>.</w:t>
      </w:r>
    </w:p>
    <w:p w14:paraId="422D8BBB" w14:textId="386A011A" w:rsidR="007F18F0" w:rsidRPr="00267CF4" w:rsidRDefault="00BC3852" w:rsidP="003B38CB">
      <w:pPr>
        <w:widowControl w:val="0"/>
        <w:spacing w:after="200" w:line="276" w:lineRule="auto"/>
        <w:jc w:val="both"/>
        <w:rPr>
          <w:b/>
          <w:sz w:val="24"/>
          <w:szCs w:val="24"/>
          <w:u w:val="single"/>
        </w:rPr>
      </w:pPr>
      <w:r w:rsidRPr="00267CF4">
        <w:rPr>
          <w:b/>
          <w:sz w:val="24"/>
          <w:szCs w:val="24"/>
          <w:u w:val="single"/>
        </w:rPr>
        <w:t>CF apreciază că sunt necesare măsuri suplimentare</w:t>
      </w:r>
      <w:r w:rsidR="00EF6C45">
        <w:rPr>
          <w:b/>
          <w:sz w:val="24"/>
          <w:szCs w:val="24"/>
          <w:u w:val="single"/>
        </w:rPr>
        <w:t xml:space="preserve"> privind </w:t>
      </w:r>
      <w:r w:rsidRPr="00267CF4">
        <w:rPr>
          <w:b/>
          <w:sz w:val="24"/>
          <w:szCs w:val="24"/>
          <w:u w:val="single"/>
        </w:rPr>
        <w:t>venituril</w:t>
      </w:r>
      <w:r w:rsidR="00EF6C45">
        <w:rPr>
          <w:b/>
          <w:sz w:val="24"/>
          <w:szCs w:val="24"/>
          <w:u w:val="single"/>
        </w:rPr>
        <w:t xml:space="preserve">e </w:t>
      </w:r>
      <w:r w:rsidR="0014283D">
        <w:rPr>
          <w:b/>
          <w:sz w:val="24"/>
          <w:szCs w:val="24"/>
          <w:u w:val="single"/>
        </w:rPr>
        <w:t>ș</w:t>
      </w:r>
      <w:r w:rsidR="00EF6C45">
        <w:rPr>
          <w:b/>
          <w:sz w:val="24"/>
          <w:szCs w:val="24"/>
          <w:u w:val="single"/>
        </w:rPr>
        <w:t>i cheltuielile</w:t>
      </w:r>
      <w:r w:rsidRPr="00267CF4">
        <w:rPr>
          <w:b/>
          <w:sz w:val="24"/>
          <w:szCs w:val="24"/>
          <w:u w:val="single"/>
        </w:rPr>
        <w:t xml:space="preserve"> </w:t>
      </w:r>
      <w:r w:rsidR="00EF6C45">
        <w:rPr>
          <w:b/>
          <w:sz w:val="24"/>
          <w:szCs w:val="24"/>
          <w:u w:val="single"/>
        </w:rPr>
        <w:t>bugetare</w:t>
      </w:r>
      <w:r w:rsidRPr="00267CF4">
        <w:rPr>
          <w:b/>
          <w:sz w:val="24"/>
          <w:szCs w:val="24"/>
          <w:u w:val="single"/>
        </w:rPr>
        <w:t xml:space="preserve"> pentru a se asigura convergența cu ținta de deficit propusă pentru anul curent.</w:t>
      </w:r>
      <w:r w:rsidR="00973648" w:rsidRPr="00267CF4">
        <w:rPr>
          <w:b/>
          <w:sz w:val="24"/>
          <w:szCs w:val="24"/>
          <w:u w:val="single"/>
        </w:rPr>
        <w:t xml:space="preserve"> </w:t>
      </w:r>
    </w:p>
    <w:p w14:paraId="6B542C85" w14:textId="33A0520B" w:rsidR="00D20CCA" w:rsidRDefault="003C453C" w:rsidP="003B38CB">
      <w:pPr>
        <w:spacing w:after="200" w:line="276" w:lineRule="auto"/>
        <w:jc w:val="both"/>
        <w:rPr>
          <w:sz w:val="24"/>
          <w:szCs w:val="24"/>
        </w:rPr>
      </w:pPr>
      <w:r>
        <w:rPr>
          <w:sz w:val="24"/>
          <w:szCs w:val="24"/>
        </w:rPr>
        <w:t>M</w:t>
      </w:r>
      <w:r w:rsidR="00D20CCA" w:rsidRPr="00D20CCA">
        <w:rPr>
          <w:sz w:val="24"/>
          <w:szCs w:val="24"/>
        </w:rPr>
        <w:t>ajorarea programată a punctului de pensie cu 40% de la 1 septembrie 2020 are loc în contextul unui derapaj bugetar de proporții deja existent. Chiar și fără această măsură estimarea CF privind deficitul bugetar pentru anul curent ar fi de circa 3,8</w:t>
      </w:r>
      <w:r w:rsidR="00DA0C19">
        <w:rPr>
          <w:sz w:val="24"/>
          <w:szCs w:val="24"/>
        </w:rPr>
        <w:t xml:space="preserve"> – </w:t>
      </w:r>
      <w:r w:rsidR="00D20CCA" w:rsidRPr="00D20CCA">
        <w:rPr>
          <w:sz w:val="24"/>
          <w:szCs w:val="24"/>
        </w:rPr>
        <w:t>4,1% din PIB</w:t>
      </w:r>
      <w:r w:rsidR="00D20CCA">
        <w:rPr>
          <w:sz w:val="24"/>
          <w:szCs w:val="24"/>
        </w:rPr>
        <w:t>, ceea ce s</w:t>
      </w:r>
      <w:r w:rsidR="008F61FD">
        <w:rPr>
          <w:sz w:val="24"/>
          <w:szCs w:val="24"/>
        </w:rPr>
        <w:t xml:space="preserve">e traduce printr-o încordare </w:t>
      </w:r>
      <w:r w:rsidR="004C4AA0">
        <w:rPr>
          <w:sz w:val="24"/>
          <w:szCs w:val="24"/>
        </w:rPr>
        <w:t>ș</w:t>
      </w:r>
      <w:r w:rsidR="00767F02">
        <w:rPr>
          <w:sz w:val="24"/>
          <w:szCs w:val="24"/>
        </w:rPr>
        <w:t xml:space="preserve">i mai </w:t>
      </w:r>
      <w:r w:rsidR="008F61FD">
        <w:rPr>
          <w:sz w:val="24"/>
          <w:szCs w:val="24"/>
        </w:rPr>
        <w:lastRenderedPageBreak/>
        <w:t>se</w:t>
      </w:r>
      <w:r w:rsidR="00D20CCA">
        <w:rPr>
          <w:sz w:val="24"/>
          <w:szCs w:val="24"/>
        </w:rPr>
        <w:t xml:space="preserve">veră a bugetului, dată fiind puținătatea resurselor disponibile în raport cu obligațiile </w:t>
      </w:r>
      <w:r w:rsidR="00E06118">
        <w:rPr>
          <w:sz w:val="24"/>
          <w:szCs w:val="24"/>
        </w:rPr>
        <w:t xml:space="preserve">angajate în prezent,  </w:t>
      </w:r>
      <w:r w:rsidR="00BD7577">
        <w:rPr>
          <w:sz w:val="24"/>
          <w:szCs w:val="24"/>
        </w:rPr>
        <w:t xml:space="preserve">chiar </w:t>
      </w:r>
      <w:r w:rsidR="00E06118">
        <w:rPr>
          <w:sz w:val="24"/>
          <w:szCs w:val="24"/>
        </w:rPr>
        <w:t>fără a</w:t>
      </w:r>
      <w:r w:rsidR="00E06118" w:rsidRPr="005E35E8">
        <w:rPr>
          <w:sz w:val="24"/>
          <w:szCs w:val="24"/>
        </w:rPr>
        <w:t xml:space="preserve"> </w:t>
      </w:r>
      <w:r w:rsidR="00BD7577">
        <w:rPr>
          <w:sz w:val="24"/>
          <w:szCs w:val="24"/>
        </w:rPr>
        <w:t xml:space="preserve">le </w:t>
      </w:r>
      <w:r w:rsidR="00E06118">
        <w:rPr>
          <w:sz w:val="24"/>
          <w:szCs w:val="24"/>
        </w:rPr>
        <w:t>lua în considerare și pe</w:t>
      </w:r>
      <w:r w:rsidR="00BD7577">
        <w:rPr>
          <w:sz w:val="24"/>
          <w:szCs w:val="24"/>
        </w:rPr>
        <w:t xml:space="preserve"> cele</w:t>
      </w:r>
      <w:r w:rsidR="00FB1D2A">
        <w:rPr>
          <w:sz w:val="24"/>
          <w:szCs w:val="24"/>
        </w:rPr>
        <w:t xml:space="preserve"> </w:t>
      </w:r>
      <w:r w:rsidR="00E06118">
        <w:rPr>
          <w:sz w:val="24"/>
          <w:szCs w:val="24"/>
        </w:rPr>
        <w:t xml:space="preserve">viitoare. </w:t>
      </w:r>
    </w:p>
    <w:p w14:paraId="204FEE53" w14:textId="4F71A6C7" w:rsidR="00E06118" w:rsidRDefault="003C453C" w:rsidP="003B38CB">
      <w:pPr>
        <w:spacing w:after="200" w:line="276" w:lineRule="auto"/>
        <w:jc w:val="both"/>
        <w:rPr>
          <w:sz w:val="24"/>
          <w:szCs w:val="24"/>
        </w:rPr>
      </w:pPr>
      <w:r>
        <w:rPr>
          <w:sz w:val="24"/>
          <w:szCs w:val="24"/>
        </w:rPr>
        <w:t>I</w:t>
      </w:r>
      <w:r w:rsidR="00E06118">
        <w:rPr>
          <w:sz w:val="24"/>
          <w:szCs w:val="24"/>
        </w:rPr>
        <w:t>mpactul majorării cu 40% a punctului de pensie de la 1 septembrie 2020</w:t>
      </w:r>
      <w:r w:rsidR="006C6DF8">
        <w:rPr>
          <w:sz w:val="24"/>
          <w:szCs w:val="24"/>
        </w:rPr>
        <w:t>,</w:t>
      </w:r>
      <w:r w:rsidR="00E06118">
        <w:rPr>
          <w:sz w:val="24"/>
          <w:szCs w:val="24"/>
        </w:rPr>
        <w:t xml:space="preserve"> precum și al celorlalte măsuri cuprinse în noua lege a pensiilor va fi pe deplin observabil la nivelul anului 2021, implicând o majorare a ponderii cheltuielilor cu asistența socială cu încă 1,85 pp din PIB față de anul curent, și un nivel al deficitului bugetar în jurul valorii de 6% din PIB. </w:t>
      </w:r>
      <w:r w:rsidR="004C4AA0">
        <w:rPr>
          <w:sz w:val="24"/>
          <w:szCs w:val="24"/>
        </w:rPr>
        <w:t>Î</w:t>
      </w:r>
      <w:r>
        <w:rPr>
          <w:sz w:val="24"/>
          <w:szCs w:val="24"/>
        </w:rPr>
        <w:t>n 2022 deficitul ar trece de 7% din PIB. Ase</w:t>
      </w:r>
      <w:r w:rsidR="00767F02">
        <w:rPr>
          <w:sz w:val="24"/>
          <w:szCs w:val="24"/>
        </w:rPr>
        <w:t>m</w:t>
      </w:r>
      <w:r>
        <w:rPr>
          <w:sz w:val="24"/>
          <w:szCs w:val="24"/>
        </w:rPr>
        <w:t xml:space="preserve">enea deficite sunt foarte greu de </w:t>
      </w:r>
      <w:r w:rsidR="00E864B4">
        <w:rPr>
          <w:sz w:val="24"/>
          <w:szCs w:val="24"/>
        </w:rPr>
        <w:t>imagina</w:t>
      </w:r>
      <w:r>
        <w:rPr>
          <w:sz w:val="24"/>
          <w:szCs w:val="24"/>
        </w:rPr>
        <w:t>t ca fiin</w:t>
      </w:r>
      <w:r w:rsidR="00767F02">
        <w:rPr>
          <w:sz w:val="24"/>
          <w:szCs w:val="24"/>
        </w:rPr>
        <w:t>d</w:t>
      </w:r>
      <w:r w:rsidR="00EE18C2">
        <w:rPr>
          <w:sz w:val="24"/>
          <w:szCs w:val="24"/>
        </w:rPr>
        <w:t xml:space="preserve"> de acceptat</w:t>
      </w:r>
      <w:r>
        <w:rPr>
          <w:sz w:val="24"/>
          <w:szCs w:val="24"/>
        </w:rPr>
        <w:t xml:space="preserve"> </w:t>
      </w:r>
      <w:r w:rsidR="00767F02">
        <w:rPr>
          <w:sz w:val="24"/>
          <w:szCs w:val="24"/>
        </w:rPr>
        <w:t>de</w:t>
      </w:r>
      <w:r w:rsidR="00EE18C2">
        <w:rPr>
          <w:sz w:val="24"/>
          <w:szCs w:val="24"/>
        </w:rPr>
        <w:t xml:space="preserve"> către</w:t>
      </w:r>
      <w:r>
        <w:rPr>
          <w:sz w:val="24"/>
          <w:szCs w:val="24"/>
        </w:rPr>
        <w:t xml:space="preserve"> pie</w:t>
      </w:r>
      <w:r w:rsidR="004C4AA0">
        <w:rPr>
          <w:sz w:val="24"/>
          <w:szCs w:val="24"/>
        </w:rPr>
        <w:t>ț</w:t>
      </w:r>
      <w:r>
        <w:rPr>
          <w:sz w:val="24"/>
          <w:szCs w:val="24"/>
        </w:rPr>
        <w:t xml:space="preserve">e </w:t>
      </w:r>
      <w:r w:rsidR="00E864B4">
        <w:rPr>
          <w:sz w:val="24"/>
          <w:szCs w:val="24"/>
        </w:rPr>
        <w:t>ș</w:t>
      </w:r>
      <w:r>
        <w:rPr>
          <w:sz w:val="24"/>
          <w:szCs w:val="24"/>
        </w:rPr>
        <w:t>i indic</w:t>
      </w:r>
      <w:r w:rsidR="00E864B4">
        <w:rPr>
          <w:sz w:val="24"/>
          <w:szCs w:val="24"/>
        </w:rPr>
        <w:t>ă</w:t>
      </w:r>
      <w:r>
        <w:rPr>
          <w:sz w:val="24"/>
          <w:szCs w:val="24"/>
        </w:rPr>
        <w:t xml:space="preserve"> nevoia de corec</w:t>
      </w:r>
      <w:r w:rsidR="00E864B4">
        <w:rPr>
          <w:sz w:val="24"/>
          <w:szCs w:val="24"/>
        </w:rPr>
        <w:t>ț</w:t>
      </w:r>
      <w:r>
        <w:rPr>
          <w:sz w:val="24"/>
          <w:szCs w:val="24"/>
        </w:rPr>
        <w:t xml:space="preserve">ie la timp. </w:t>
      </w:r>
      <w:r w:rsidR="00E06118">
        <w:rPr>
          <w:sz w:val="24"/>
          <w:szCs w:val="24"/>
        </w:rPr>
        <w:t>În aceste condiții, o corecție către niveluri apropiate de pragul de 3% din PIB pentru deficitul bugetar, avute în vedere de altfel și de autorități în cadrul fiscal-bugetar pe termen mediu, apare drept extrem de dificil de realizat.</w:t>
      </w:r>
      <w:r w:rsidR="00973648">
        <w:rPr>
          <w:sz w:val="24"/>
          <w:szCs w:val="24"/>
        </w:rPr>
        <w:t xml:space="preserve"> De aceea, nu trebuie s</w:t>
      </w:r>
      <w:r w:rsidR="00E864B4">
        <w:rPr>
          <w:sz w:val="24"/>
          <w:szCs w:val="24"/>
        </w:rPr>
        <w:t>ă</w:t>
      </w:r>
      <w:r w:rsidR="00973648">
        <w:rPr>
          <w:sz w:val="24"/>
          <w:szCs w:val="24"/>
        </w:rPr>
        <w:t xml:space="preserve"> se accepte cre</w:t>
      </w:r>
      <w:r w:rsidR="00E864B4">
        <w:rPr>
          <w:sz w:val="24"/>
          <w:szCs w:val="24"/>
        </w:rPr>
        <w:t>ș</w:t>
      </w:r>
      <w:r w:rsidR="00973648">
        <w:rPr>
          <w:sz w:val="24"/>
          <w:szCs w:val="24"/>
        </w:rPr>
        <w:t>terea deficitelor bugetare</w:t>
      </w:r>
      <w:r w:rsidR="00E864B4">
        <w:rPr>
          <w:sz w:val="24"/>
          <w:szCs w:val="24"/>
        </w:rPr>
        <w:t>,</w:t>
      </w:r>
      <w:r w:rsidR="00973648">
        <w:rPr>
          <w:sz w:val="24"/>
          <w:szCs w:val="24"/>
        </w:rPr>
        <w:t xml:space="preserve"> </w:t>
      </w:r>
      <w:r w:rsidR="00E864B4">
        <w:rPr>
          <w:sz w:val="24"/>
          <w:szCs w:val="24"/>
        </w:rPr>
        <w:t>iar</w:t>
      </w:r>
      <w:r w:rsidR="00973648">
        <w:rPr>
          <w:sz w:val="24"/>
          <w:szCs w:val="24"/>
        </w:rPr>
        <w:t xml:space="preserve"> consolidarea trebu</w:t>
      </w:r>
      <w:r w:rsidR="00E864B4">
        <w:rPr>
          <w:sz w:val="24"/>
          <w:szCs w:val="24"/>
        </w:rPr>
        <w:t>i</w:t>
      </w:r>
      <w:r w:rsidR="00973648">
        <w:rPr>
          <w:sz w:val="24"/>
          <w:szCs w:val="24"/>
        </w:rPr>
        <w:t>e s</w:t>
      </w:r>
      <w:r w:rsidR="00E864B4">
        <w:rPr>
          <w:sz w:val="24"/>
          <w:szCs w:val="24"/>
        </w:rPr>
        <w:t>ă</w:t>
      </w:r>
      <w:r w:rsidR="00973648">
        <w:rPr>
          <w:sz w:val="24"/>
          <w:szCs w:val="24"/>
        </w:rPr>
        <w:t xml:space="preserve"> debuteze </w:t>
      </w:r>
      <w:r w:rsidR="00E864B4">
        <w:rPr>
          <w:sz w:val="24"/>
          <w:szCs w:val="24"/>
        </w:rPr>
        <w:t xml:space="preserve">încă din </w:t>
      </w:r>
      <w:r w:rsidR="00973648">
        <w:rPr>
          <w:sz w:val="24"/>
          <w:szCs w:val="24"/>
        </w:rPr>
        <w:t>anul 2020.</w:t>
      </w:r>
    </w:p>
    <w:p w14:paraId="32A2E3FC" w14:textId="55C0C9DC" w:rsidR="00E06118" w:rsidRDefault="00E864B4" w:rsidP="003B38CB">
      <w:pPr>
        <w:spacing w:after="200" w:line="276" w:lineRule="auto"/>
        <w:jc w:val="both"/>
        <w:rPr>
          <w:sz w:val="24"/>
          <w:szCs w:val="24"/>
        </w:rPr>
      </w:pPr>
      <w:r>
        <w:rPr>
          <w:sz w:val="24"/>
          <w:szCs w:val="24"/>
        </w:rPr>
        <w:t>N</w:t>
      </w:r>
      <w:r w:rsidR="00E06118">
        <w:rPr>
          <w:sz w:val="24"/>
          <w:szCs w:val="24"/>
        </w:rPr>
        <w:t xml:space="preserve">iveluri </w:t>
      </w:r>
      <w:r>
        <w:rPr>
          <w:sz w:val="24"/>
          <w:szCs w:val="24"/>
        </w:rPr>
        <w:t>înalte și î</w:t>
      </w:r>
      <w:r w:rsidR="00405DBE">
        <w:rPr>
          <w:sz w:val="24"/>
          <w:szCs w:val="24"/>
        </w:rPr>
        <w:t>n cre</w:t>
      </w:r>
      <w:r>
        <w:rPr>
          <w:sz w:val="24"/>
          <w:szCs w:val="24"/>
        </w:rPr>
        <w:t>ș</w:t>
      </w:r>
      <w:r w:rsidR="00405DBE">
        <w:rPr>
          <w:sz w:val="24"/>
          <w:szCs w:val="24"/>
        </w:rPr>
        <w:t xml:space="preserve">tere </w:t>
      </w:r>
      <w:r w:rsidR="00E06118">
        <w:rPr>
          <w:sz w:val="24"/>
          <w:szCs w:val="24"/>
        </w:rPr>
        <w:t>ale def</w:t>
      </w:r>
      <w:r w:rsidR="001953C7">
        <w:rPr>
          <w:sz w:val="24"/>
          <w:szCs w:val="24"/>
        </w:rPr>
        <w:t>icitului bugetar</w:t>
      </w:r>
      <w:r w:rsidR="00767F02">
        <w:rPr>
          <w:sz w:val="24"/>
          <w:szCs w:val="24"/>
        </w:rPr>
        <w:t xml:space="preserve"> (admi</w:t>
      </w:r>
      <w:r>
        <w:rPr>
          <w:sz w:val="24"/>
          <w:szCs w:val="24"/>
        </w:rPr>
        <w:t>țâ</w:t>
      </w:r>
      <w:r w:rsidR="00767F02">
        <w:rPr>
          <w:sz w:val="24"/>
          <w:szCs w:val="24"/>
        </w:rPr>
        <w:t>nd c</w:t>
      </w:r>
      <w:r w:rsidR="004C4AA0">
        <w:rPr>
          <w:sz w:val="24"/>
          <w:szCs w:val="24"/>
        </w:rPr>
        <w:t>ă</w:t>
      </w:r>
      <w:r w:rsidR="00767F02">
        <w:rPr>
          <w:sz w:val="24"/>
          <w:szCs w:val="24"/>
        </w:rPr>
        <w:t xml:space="preserve"> pie</w:t>
      </w:r>
      <w:r>
        <w:rPr>
          <w:sz w:val="24"/>
          <w:szCs w:val="24"/>
        </w:rPr>
        <w:t>ț</w:t>
      </w:r>
      <w:r w:rsidR="00767F02">
        <w:rPr>
          <w:sz w:val="24"/>
          <w:szCs w:val="24"/>
        </w:rPr>
        <w:t>ele le-ar tolera un timp) ar</w:t>
      </w:r>
      <w:r w:rsidR="001953C7">
        <w:rPr>
          <w:sz w:val="24"/>
          <w:szCs w:val="24"/>
        </w:rPr>
        <w:t xml:space="preserve"> determin</w:t>
      </w:r>
      <w:r>
        <w:rPr>
          <w:sz w:val="24"/>
          <w:szCs w:val="24"/>
        </w:rPr>
        <w:t>a</w:t>
      </w:r>
      <w:r w:rsidR="001953C7">
        <w:rPr>
          <w:sz w:val="24"/>
          <w:szCs w:val="24"/>
        </w:rPr>
        <w:t xml:space="preserve"> </w:t>
      </w:r>
      <w:r w:rsidR="001953C7" w:rsidRPr="001953C7">
        <w:rPr>
          <w:sz w:val="24"/>
          <w:szCs w:val="24"/>
        </w:rPr>
        <w:t>acum</w:t>
      </w:r>
      <w:r w:rsidR="001953C7">
        <w:rPr>
          <w:sz w:val="24"/>
          <w:szCs w:val="24"/>
        </w:rPr>
        <w:t xml:space="preserve">ularea de datorie publică și </w:t>
      </w:r>
      <w:r w:rsidR="001953C7" w:rsidRPr="001953C7">
        <w:rPr>
          <w:sz w:val="24"/>
          <w:szCs w:val="24"/>
        </w:rPr>
        <w:t xml:space="preserve">vulnerabilizarea masivă a </w:t>
      </w:r>
      <w:r w:rsidR="00767F02">
        <w:rPr>
          <w:sz w:val="24"/>
          <w:szCs w:val="24"/>
        </w:rPr>
        <w:t>st</w:t>
      </w:r>
      <w:r w:rsidR="004C4AA0">
        <w:rPr>
          <w:sz w:val="24"/>
          <w:szCs w:val="24"/>
        </w:rPr>
        <w:t>ă</w:t>
      </w:r>
      <w:r w:rsidR="00767F02">
        <w:rPr>
          <w:sz w:val="24"/>
          <w:szCs w:val="24"/>
        </w:rPr>
        <w:t>rii</w:t>
      </w:r>
      <w:r w:rsidR="001953C7" w:rsidRPr="001953C7">
        <w:rPr>
          <w:sz w:val="24"/>
          <w:szCs w:val="24"/>
        </w:rPr>
        <w:t xml:space="preserve"> finanțelor publice</w:t>
      </w:r>
      <w:r w:rsidR="00767F02">
        <w:rPr>
          <w:sz w:val="24"/>
          <w:szCs w:val="24"/>
        </w:rPr>
        <w:t>;</w:t>
      </w:r>
      <w:r w:rsidR="001953C7" w:rsidRPr="001953C7">
        <w:rPr>
          <w:sz w:val="24"/>
          <w:szCs w:val="24"/>
        </w:rPr>
        <w:t xml:space="preserve"> spațiul fiscal </w:t>
      </w:r>
      <w:r w:rsidR="00767F02">
        <w:rPr>
          <w:sz w:val="24"/>
          <w:szCs w:val="24"/>
        </w:rPr>
        <w:t>nu ar exista</w:t>
      </w:r>
      <w:r w:rsidR="001953C7" w:rsidRPr="001953C7">
        <w:rPr>
          <w:sz w:val="24"/>
          <w:szCs w:val="24"/>
        </w:rPr>
        <w:t xml:space="preserve">, ceea ce </w:t>
      </w:r>
      <w:r w:rsidR="00767F02">
        <w:rPr>
          <w:sz w:val="24"/>
          <w:szCs w:val="24"/>
        </w:rPr>
        <w:t>ar</w:t>
      </w:r>
      <w:r w:rsidR="001953C7" w:rsidRPr="001953C7">
        <w:rPr>
          <w:sz w:val="24"/>
          <w:szCs w:val="24"/>
        </w:rPr>
        <w:t xml:space="preserve"> conduce la imposibilitatea de a stimula economia în faza de recesiune a ciclului economic și mai mult, </w:t>
      </w:r>
      <w:r w:rsidR="004C4AA0">
        <w:rPr>
          <w:sz w:val="24"/>
          <w:szCs w:val="24"/>
        </w:rPr>
        <w:t>î</w:t>
      </w:r>
      <w:r w:rsidR="00405DBE">
        <w:rPr>
          <w:sz w:val="24"/>
          <w:szCs w:val="24"/>
        </w:rPr>
        <w:t>n mod inevitabil</w:t>
      </w:r>
      <w:r w:rsidR="001953C7" w:rsidRPr="001953C7">
        <w:rPr>
          <w:sz w:val="24"/>
          <w:szCs w:val="24"/>
        </w:rPr>
        <w:t xml:space="preserve"> </w:t>
      </w:r>
      <w:r w:rsidR="00767F02">
        <w:rPr>
          <w:sz w:val="24"/>
          <w:szCs w:val="24"/>
        </w:rPr>
        <w:t>ar</w:t>
      </w:r>
      <w:r w:rsidR="001953C7" w:rsidRPr="001953C7">
        <w:rPr>
          <w:sz w:val="24"/>
          <w:szCs w:val="24"/>
        </w:rPr>
        <w:t xml:space="preserve"> impune corecții fiscale, contribuind la menținerea caracterului pro-ciclic al politicii fiscal-bugetare</w:t>
      </w:r>
      <w:r w:rsidR="001953C7">
        <w:rPr>
          <w:sz w:val="24"/>
          <w:szCs w:val="24"/>
        </w:rPr>
        <w:t>.</w:t>
      </w:r>
    </w:p>
    <w:p w14:paraId="2624D2E4" w14:textId="3119873D" w:rsidR="00FF3547" w:rsidRDefault="001953C7" w:rsidP="003B38CB">
      <w:pPr>
        <w:widowControl w:val="0"/>
        <w:spacing w:after="200" w:line="276" w:lineRule="auto"/>
        <w:jc w:val="both"/>
        <w:rPr>
          <w:sz w:val="24"/>
          <w:szCs w:val="24"/>
        </w:rPr>
      </w:pPr>
      <w:r>
        <w:rPr>
          <w:rFonts w:cs="Calibri"/>
          <w:bCs/>
          <w:sz w:val="24"/>
          <w:szCs w:val="24"/>
        </w:rPr>
        <w:t xml:space="preserve">Necesitatea consolidării bugetare trebuie considerată </w:t>
      </w:r>
      <w:r w:rsidR="004C4AA0">
        <w:rPr>
          <w:rFonts w:cs="Calibri"/>
          <w:bCs/>
          <w:sz w:val="24"/>
          <w:szCs w:val="24"/>
        </w:rPr>
        <w:t>ș</w:t>
      </w:r>
      <w:r w:rsidR="003D46B6">
        <w:rPr>
          <w:rFonts w:cs="Calibri"/>
          <w:bCs/>
          <w:sz w:val="24"/>
          <w:szCs w:val="24"/>
        </w:rPr>
        <w:t xml:space="preserve">i </w:t>
      </w:r>
      <w:r>
        <w:rPr>
          <w:rFonts w:cs="Calibri"/>
          <w:bCs/>
          <w:sz w:val="24"/>
          <w:szCs w:val="24"/>
        </w:rPr>
        <w:t xml:space="preserve">în corelație cu </w:t>
      </w:r>
      <w:r>
        <w:rPr>
          <w:sz w:val="24"/>
          <w:szCs w:val="24"/>
        </w:rPr>
        <w:t xml:space="preserve">perspectiva modificării rating-ului suveran, care </w:t>
      </w:r>
      <w:r w:rsidR="00405DBE">
        <w:rPr>
          <w:sz w:val="24"/>
          <w:szCs w:val="24"/>
        </w:rPr>
        <w:t>este</w:t>
      </w:r>
      <w:r>
        <w:rPr>
          <w:sz w:val="24"/>
          <w:szCs w:val="24"/>
        </w:rPr>
        <w:t xml:space="preserve"> mențion</w:t>
      </w:r>
      <w:r w:rsidR="00E864B4">
        <w:rPr>
          <w:sz w:val="24"/>
          <w:szCs w:val="24"/>
        </w:rPr>
        <w:t>a</w:t>
      </w:r>
      <w:r w:rsidR="00405DBE">
        <w:rPr>
          <w:sz w:val="24"/>
          <w:szCs w:val="24"/>
        </w:rPr>
        <w:t>t</w:t>
      </w:r>
      <w:r w:rsidR="00E864B4">
        <w:rPr>
          <w:sz w:val="24"/>
          <w:szCs w:val="24"/>
        </w:rPr>
        <w:t>ă</w:t>
      </w:r>
      <w:r>
        <w:rPr>
          <w:sz w:val="24"/>
          <w:szCs w:val="24"/>
        </w:rPr>
        <w:t xml:space="preserve"> explicit drept element </w:t>
      </w:r>
      <w:r w:rsidR="00EF6C45">
        <w:rPr>
          <w:sz w:val="24"/>
          <w:szCs w:val="24"/>
        </w:rPr>
        <w:t>cheie</w:t>
      </w:r>
      <w:r>
        <w:rPr>
          <w:sz w:val="24"/>
          <w:szCs w:val="24"/>
        </w:rPr>
        <w:t xml:space="preserve"> în </w:t>
      </w:r>
      <w:r w:rsidR="00E864B4">
        <w:rPr>
          <w:sz w:val="24"/>
          <w:szCs w:val="24"/>
        </w:rPr>
        <w:t xml:space="preserve">perspectiva </w:t>
      </w:r>
      <w:r>
        <w:rPr>
          <w:sz w:val="24"/>
          <w:szCs w:val="24"/>
        </w:rPr>
        <w:t>evaluăril</w:t>
      </w:r>
      <w:r w:rsidR="00E864B4">
        <w:rPr>
          <w:sz w:val="24"/>
          <w:szCs w:val="24"/>
        </w:rPr>
        <w:t>or</w:t>
      </w:r>
      <w:r>
        <w:rPr>
          <w:sz w:val="24"/>
          <w:szCs w:val="24"/>
        </w:rPr>
        <w:t xml:space="preserve"> viitoare</w:t>
      </w:r>
      <w:r w:rsidR="00E864B4">
        <w:rPr>
          <w:sz w:val="24"/>
          <w:szCs w:val="24"/>
        </w:rPr>
        <w:t xml:space="preserve"> ale agențiilor de profil</w:t>
      </w:r>
      <w:r>
        <w:rPr>
          <w:sz w:val="24"/>
          <w:szCs w:val="24"/>
        </w:rPr>
        <w:t xml:space="preserve">. </w:t>
      </w:r>
      <w:r w:rsidR="00FE6AC8">
        <w:rPr>
          <w:sz w:val="24"/>
          <w:szCs w:val="24"/>
        </w:rPr>
        <w:t xml:space="preserve">În acest context bugetar </w:t>
      </w:r>
      <w:r w:rsidR="00FF3547">
        <w:rPr>
          <w:sz w:val="24"/>
          <w:szCs w:val="24"/>
        </w:rPr>
        <w:t xml:space="preserve">foarte </w:t>
      </w:r>
      <w:r w:rsidR="00FE6AC8">
        <w:rPr>
          <w:sz w:val="24"/>
          <w:szCs w:val="24"/>
        </w:rPr>
        <w:t>dificil, inițiative privind reduceri de taxe și impozite, precum și creșteri de cheltuieli nu se justifică, fiind co</w:t>
      </w:r>
      <w:r w:rsidR="008F61FD">
        <w:rPr>
          <w:sz w:val="24"/>
          <w:szCs w:val="24"/>
        </w:rPr>
        <w:t>n</w:t>
      </w:r>
      <w:r w:rsidR="00FE6AC8">
        <w:rPr>
          <w:sz w:val="24"/>
          <w:szCs w:val="24"/>
        </w:rPr>
        <w:t xml:space="preserve">trare logicii consolidării bugetare. În plus, cu cât corecția bugetară va </w:t>
      </w:r>
      <w:r w:rsidR="00E864B4">
        <w:rPr>
          <w:sz w:val="24"/>
          <w:szCs w:val="24"/>
        </w:rPr>
        <w:t>începe</w:t>
      </w:r>
      <w:r w:rsidR="00FE6AC8">
        <w:rPr>
          <w:sz w:val="24"/>
          <w:szCs w:val="24"/>
        </w:rPr>
        <w:t xml:space="preserve"> mai târziu, cu atât </w:t>
      </w:r>
      <w:r w:rsidR="00405DBE">
        <w:rPr>
          <w:sz w:val="24"/>
          <w:szCs w:val="24"/>
        </w:rPr>
        <w:t>amploarea</w:t>
      </w:r>
      <w:r w:rsidR="00FE6AC8">
        <w:rPr>
          <w:sz w:val="24"/>
          <w:szCs w:val="24"/>
        </w:rPr>
        <w:t xml:space="preserve"> măsurilor corective necesare </w:t>
      </w:r>
      <w:r w:rsidR="00E864B4">
        <w:rPr>
          <w:sz w:val="24"/>
          <w:szCs w:val="24"/>
        </w:rPr>
        <w:t>va fi</w:t>
      </w:r>
      <w:r w:rsidR="00FE6AC8">
        <w:rPr>
          <w:sz w:val="24"/>
          <w:szCs w:val="24"/>
        </w:rPr>
        <w:t xml:space="preserve"> mai ridicată și implicit costurile economice și sociale mai însemnate.</w:t>
      </w:r>
      <w:r w:rsidR="00913B35">
        <w:rPr>
          <w:sz w:val="24"/>
          <w:szCs w:val="24"/>
        </w:rPr>
        <w:t xml:space="preserve"> </w:t>
      </w:r>
    </w:p>
    <w:p w14:paraId="60F33636" w14:textId="6DBB45D3" w:rsidR="001953C7" w:rsidRDefault="00913B35" w:rsidP="003B38CB">
      <w:pPr>
        <w:widowControl w:val="0"/>
        <w:spacing w:after="200" w:line="276" w:lineRule="auto"/>
        <w:jc w:val="both"/>
        <w:rPr>
          <w:sz w:val="24"/>
          <w:szCs w:val="24"/>
        </w:rPr>
      </w:pPr>
      <w:r>
        <w:rPr>
          <w:sz w:val="24"/>
          <w:szCs w:val="24"/>
        </w:rPr>
        <w:t>Consolidarea bugetară este esențială pentru consolidarea macroeconomică</w:t>
      </w:r>
      <w:r w:rsidR="00E864B4">
        <w:rPr>
          <w:sz w:val="24"/>
          <w:szCs w:val="24"/>
        </w:rPr>
        <w:t>.</w:t>
      </w:r>
    </w:p>
    <w:p w14:paraId="0E3F2F03" w14:textId="699C4ACD" w:rsidR="00F65DBF" w:rsidRPr="00FE6AC8" w:rsidRDefault="00F65DBF" w:rsidP="003B38CB">
      <w:pPr>
        <w:widowControl w:val="0"/>
        <w:spacing w:after="200" w:line="276" w:lineRule="auto"/>
        <w:jc w:val="both"/>
        <w:rPr>
          <w:rFonts w:cs="Calibri"/>
          <w:bCs/>
          <w:sz w:val="24"/>
          <w:szCs w:val="24"/>
        </w:rPr>
      </w:pPr>
      <w:r w:rsidRPr="00F65DBF">
        <w:rPr>
          <w:rFonts w:cs="Calibri"/>
          <w:bCs/>
          <w:sz w:val="24"/>
          <w:szCs w:val="24"/>
        </w:rPr>
        <w:t>Nevoia de corec</w:t>
      </w:r>
      <w:r w:rsidR="004C4AA0">
        <w:rPr>
          <w:rFonts w:cs="Calibri"/>
          <w:bCs/>
          <w:sz w:val="24"/>
          <w:szCs w:val="24"/>
        </w:rPr>
        <w:t>ț</w:t>
      </w:r>
      <w:r w:rsidRPr="00F65DBF">
        <w:rPr>
          <w:rFonts w:cs="Calibri"/>
          <w:bCs/>
          <w:sz w:val="24"/>
          <w:szCs w:val="24"/>
        </w:rPr>
        <w:t>ii bugetare, de consolidare a bugetului public este reclamat</w:t>
      </w:r>
      <w:r w:rsidR="00F15B93">
        <w:rPr>
          <w:rFonts w:cs="Calibri"/>
          <w:bCs/>
          <w:sz w:val="24"/>
          <w:szCs w:val="24"/>
        </w:rPr>
        <w:t>ă</w:t>
      </w:r>
      <w:r w:rsidRPr="00F65DBF">
        <w:rPr>
          <w:rFonts w:cs="Calibri"/>
          <w:bCs/>
          <w:sz w:val="24"/>
          <w:szCs w:val="24"/>
        </w:rPr>
        <w:t xml:space="preserve"> nu </w:t>
      </w:r>
      <w:r w:rsidR="00913B35">
        <w:rPr>
          <w:rFonts w:cs="Calibri"/>
          <w:bCs/>
          <w:sz w:val="24"/>
          <w:szCs w:val="24"/>
        </w:rPr>
        <w:t xml:space="preserve">numai de </w:t>
      </w:r>
      <w:r w:rsidRPr="00F65DBF">
        <w:rPr>
          <w:rFonts w:cs="Calibri"/>
          <w:bCs/>
          <w:sz w:val="24"/>
          <w:szCs w:val="24"/>
        </w:rPr>
        <w:t>pericolul intr</w:t>
      </w:r>
      <w:r w:rsidR="00F15B93">
        <w:rPr>
          <w:rFonts w:cs="Calibri"/>
          <w:bCs/>
          <w:sz w:val="24"/>
          <w:szCs w:val="24"/>
        </w:rPr>
        <w:t>ă</w:t>
      </w:r>
      <w:r w:rsidRPr="00F65DBF">
        <w:rPr>
          <w:rFonts w:cs="Calibri"/>
          <w:bCs/>
          <w:sz w:val="24"/>
          <w:szCs w:val="24"/>
        </w:rPr>
        <w:t>rii sub inciden</w:t>
      </w:r>
      <w:r w:rsidR="00F15B93">
        <w:rPr>
          <w:rFonts w:cs="Calibri"/>
          <w:bCs/>
          <w:sz w:val="24"/>
          <w:szCs w:val="24"/>
        </w:rPr>
        <w:t>ț</w:t>
      </w:r>
      <w:r w:rsidRPr="00F65DBF">
        <w:rPr>
          <w:rFonts w:cs="Calibri"/>
          <w:bCs/>
          <w:sz w:val="24"/>
          <w:szCs w:val="24"/>
        </w:rPr>
        <w:t xml:space="preserve">a PDE, </w:t>
      </w:r>
      <w:r w:rsidRPr="007855F4">
        <w:rPr>
          <w:rFonts w:cs="Calibri"/>
          <w:bCs/>
          <w:sz w:val="24"/>
          <w:szCs w:val="24"/>
        </w:rPr>
        <w:t>c</w:t>
      </w:r>
      <w:r w:rsidR="00F15B93" w:rsidRPr="007855F4">
        <w:rPr>
          <w:rFonts w:cs="Calibri"/>
          <w:bCs/>
          <w:sz w:val="24"/>
          <w:szCs w:val="24"/>
        </w:rPr>
        <w:t>â</w:t>
      </w:r>
      <w:r w:rsidRPr="007855F4">
        <w:rPr>
          <w:rFonts w:cs="Calibri"/>
          <w:bCs/>
          <w:sz w:val="24"/>
          <w:szCs w:val="24"/>
        </w:rPr>
        <w:t>t</w:t>
      </w:r>
      <w:r w:rsidR="005E35E8" w:rsidRPr="007855F4">
        <w:rPr>
          <w:rFonts w:cs="Calibri"/>
          <w:bCs/>
          <w:sz w:val="24"/>
          <w:szCs w:val="24"/>
        </w:rPr>
        <w:t xml:space="preserve"> </w:t>
      </w:r>
      <w:r w:rsidR="00F15B93">
        <w:rPr>
          <w:rFonts w:cs="Calibri"/>
          <w:bCs/>
          <w:sz w:val="24"/>
          <w:szCs w:val="24"/>
        </w:rPr>
        <w:t xml:space="preserve">și </w:t>
      </w:r>
      <w:r w:rsidRPr="00F65DBF">
        <w:rPr>
          <w:rFonts w:cs="Calibri"/>
          <w:bCs/>
          <w:sz w:val="24"/>
          <w:szCs w:val="24"/>
        </w:rPr>
        <w:t>de necesitatea de a demonstra c</w:t>
      </w:r>
      <w:r w:rsidR="00F15B93">
        <w:rPr>
          <w:rFonts w:cs="Calibri"/>
          <w:bCs/>
          <w:sz w:val="24"/>
          <w:szCs w:val="24"/>
        </w:rPr>
        <w:t>ă</w:t>
      </w:r>
      <w:r w:rsidRPr="00F65DBF">
        <w:rPr>
          <w:rFonts w:cs="Calibri"/>
          <w:bCs/>
          <w:sz w:val="24"/>
          <w:szCs w:val="24"/>
        </w:rPr>
        <w:t xml:space="preserve"> suntem </w:t>
      </w:r>
      <w:r w:rsidR="004C4AA0">
        <w:rPr>
          <w:rFonts w:cs="Calibri"/>
          <w:bCs/>
          <w:sz w:val="24"/>
          <w:szCs w:val="24"/>
        </w:rPr>
        <w:t>î</w:t>
      </w:r>
      <w:r w:rsidRPr="00F65DBF">
        <w:rPr>
          <w:rFonts w:cs="Calibri"/>
          <w:bCs/>
          <w:sz w:val="24"/>
          <w:szCs w:val="24"/>
        </w:rPr>
        <w:t>n stare s</w:t>
      </w:r>
      <w:r w:rsidR="004C4AA0">
        <w:rPr>
          <w:rFonts w:cs="Calibri"/>
          <w:bCs/>
          <w:sz w:val="24"/>
          <w:szCs w:val="24"/>
        </w:rPr>
        <w:t>ă</w:t>
      </w:r>
      <w:r w:rsidRPr="00F65DBF">
        <w:rPr>
          <w:rFonts w:cs="Calibri"/>
          <w:bCs/>
          <w:sz w:val="24"/>
          <w:szCs w:val="24"/>
        </w:rPr>
        <w:t xml:space="preserve"> rec</w:t>
      </w:r>
      <w:r w:rsidR="00F15B93">
        <w:rPr>
          <w:rFonts w:cs="Calibri"/>
          <w:bCs/>
          <w:sz w:val="24"/>
          <w:szCs w:val="24"/>
        </w:rPr>
        <w:t>âș</w:t>
      </w:r>
      <w:r w:rsidRPr="00F65DBF">
        <w:rPr>
          <w:rFonts w:cs="Calibri"/>
          <w:bCs/>
          <w:sz w:val="24"/>
          <w:szCs w:val="24"/>
        </w:rPr>
        <w:t>tig</w:t>
      </w:r>
      <w:r w:rsidR="00F15B93">
        <w:rPr>
          <w:rFonts w:cs="Calibri"/>
          <w:bCs/>
          <w:sz w:val="24"/>
          <w:szCs w:val="24"/>
        </w:rPr>
        <w:t>ă</w:t>
      </w:r>
      <w:r w:rsidRPr="00F65DBF">
        <w:rPr>
          <w:rFonts w:cs="Calibri"/>
          <w:bCs/>
          <w:sz w:val="24"/>
          <w:szCs w:val="24"/>
        </w:rPr>
        <w:t>m controlul asupra finan</w:t>
      </w:r>
      <w:r w:rsidR="00F15B93">
        <w:rPr>
          <w:rFonts w:cs="Calibri"/>
          <w:bCs/>
          <w:sz w:val="24"/>
          <w:szCs w:val="24"/>
        </w:rPr>
        <w:t>ț</w:t>
      </w:r>
      <w:r w:rsidRPr="00F65DBF">
        <w:rPr>
          <w:rFonts w:cs="Calibri"/>
          <w:bCs/>
          <w:sz w:val="24"/>
          <w:szCs w:val="24"/>
        </w:rPr>
        <w:t xml:space="preserve">elor publice; </w:t>
      </w:r>
      <w:r w:rsidR="00E864B4">
        <w:rPr>
          <w:sz w:val="24"/>
          <w:szCs w:val="24"/>
        </w:rPr>
        <w:t>corecțiile induse de piețele financiare sunt mai dureroase decât cele realizate intern și din timp</w:t>
      </w:r>
      <w:r w:rsidRPr="00F65DBF">
        <w:rPr>
          <w:rFonts w:cs="Calibri"/>
          <w:bCs/>
          <w:sz w:val="24"/>
          <w:szCs w:val="24"/>
        </w:rPr>
        <w:t>.</w:t>
      </w:r>
    </w:p>
    <w:p w14:paraId="557E7817" w14:textId="04ED582C" w:rsidR="007F18F0" w:rsidRDefault="001953C7" w:rsidP="003B38CB">
      <w:pPr>
        <w:widowControl w:val="0"/>
        <w:spacing w:after="200" w:line="276" w:lineRule="auto"/>
        <w:jc w:val="both"/>
        <w:rPr>
          <w:sz w:val="24"/>
          <w:szCs w:val="24"/>
        </w:rPr>
      </w:pPr>
      <w:r w:rsidRPr="001953C7">
        <w:rPr>
          <w:sz w:val="24"/>
          <w:szCs w:val="24"/>
        </w:rPr>
        <w:t>Dacă, în ultimii ani, singurul reper funcțional din perspectiva regulilor fiscale naționale și/sau europene a fost reprezentat de pragul de 3% din PIB pentru deficitul bugetar efectiv, în prezent, și acesta este depășit, iar direcția este de majorare a deviației față de acesta</w:t>
      </w:r>
      <w:r>
        <w:rPr>
          <w:sz w:val="24"/>
          <w:szCs w:val="24"/>
        </w:rPr>
        <w:t xml:space="preserve">. Perspectiva plasării României în PDE </w:t>
      </w:r>
      <w:r w:rsidR="00FE6AC8">
        <w:rPr>
          <w:sz w:val="24"/>
          <w:szCs w:val="24"/>
        </w:rPr>
        <w:t>apare dificil de evitat, iar aceasta ar trebui să îndemne la corecții</w:t>
      </w:r>
      <w:r w:rsidR="00405DBE">
        <w:rPr>
          <w:sz w:val="24"/>
          <w:szCs w:val="24"/>
        </w:rPr>
        <w:t xml:space="preserve"> c</w:t>
      </w:r>
      <w:r w:rsidR="00F15B93">
        <w:rPr>
          <w:sz w:val="24"/>
          <w:szCs w:val="24"/>
        </w:rPr>
        <w:t>â</w:t>
      </w:r>
      <w:r w:rsidR="00405DBE">
        <w:rPr>
          <w:sz w:val="24"/>
          <w:szCs w:val="24"/>
        </w:rPr>
        <w:t>t mai grabnice</w:t>
      </w:r>
      <w:r w:rsidR="00FE6AC8">
        <w:rPr>
          <w:sz w:val="24"/>
          <w:szCs w:val="24"/>
        </w:rPr>
        <w:t>.</w:t>
      </w:r>
    </w:p>
    <w:p w14:paraId="723AAA2D" w14:textId="76752CC8" w:rsidR="001B18DE" w:rsidRPr="00DF4101" w:rsidRDefault="001B18DE" w:rsidP="003B38CB">
      <w:pPr>
        <w:spacing w:after="200" w:line="276" w:lineRule="auto"/>
        <w:jc w:val="both"/>
        <w:rPr>
          <w:sz w:val="24"/>
          <w:szCs w:val="24"/>
        </w:rPr>
      </w:pPr>
      <w:r>
        <w:rPr>
          <w:sz w:val="24"/>
          <w:szCs w:val="24"/>
        </w:rPr>
        <w:t xml:space="preserve">Balanța riscurilor în legătură cu soldul bugetar aferent anului 2020 este înclinată, în opinia CF, pe partea negativă, respectiv înregistrarea unui deficit bugetar mai ridicat, presiuni suplimentare asupra bugetului putând să apară din: evoluții economice mai nefavorabile la nivel internațional, aplicarea deciziei de </w:t>
      </w:r>
      <w:r>
        <w:rPr>
          <w:sz w:val="24"/>
          <w:szCs w:val="24"/>
        </w:rPr>
        <w:lastRenderedPageBreak/>
        <w:t>dublare a alocațiilor, prorogată până la 1 august, înregist</w:t>
      </w:r>
      <w:r w:rsidR="008F61FD">
        <w:rPr>
          <w:sz w:val="24"/>
          <w:szCs w:val="24"/>
        </w:rPr>
        <w:t>r</w:t>
      </w:r>
      <w:r>
        <w:rPr>
          <w:sz w:val="24"/>
          <w:szCs w:val="24"/>
        </w:rPr>
        <w:t>area un</w:t>
      </w:r>
      <w:r w:rsidR="00405DBE">
        <w:rPr>
          <w:sz w:val="24"/>
          <w:szCs w:val="24"/>
        </w:rPr>
        <w:t>ei</w:t>
      </w:r>
      <w:r>
        <w:rPr>
          <w:sz w:val="24"/>
          <w:szCs w:val="24"/>
        </w:rPr>
        <w:t xml:space="preserve"> </w:t>
      </w:r>
      <w:r w:rsidR="00405DBE">
        <w:rPr>
          <w:sz w:val="24"/>
          <w:szCs w:val="24"/>
        </w:rPr>
        <w:t>cre</w:t>
      </w:r>
      <w:r w:rsidR="004C4AA0">
        <w:rPr>
          <w:sz w:val="24"/>
          <w:szCs w:val="24"/>
        </w:rPr>
        <w:t>ș</w:t>
      </w:r>
      <w:r w:rsidR="00405DBE">
        <w:rPr>
          <w:sz w:val="24"/>
          <w:szCs w:val="24"/>
        </w:rPr>
        <w:t>teri</w:t>
      </w:r>
      <w:r>
        <w:rPr>
          <w:sz w:val="24"/>
          <w:szCs w:val="24"/>
        </w:rPr>
        <w:t xml:space="preserve"> mai alert</w:t>
      </w:r>
      <w:r w:rsidR="00405DBE">
        <w:rPr>
          <w:sz w:val="24"/>
          <w:szCs w:val="24"/>
        </w:rPr>
        <w:t>e</w:t>
      </w:r>
      <w:r>
        <w:rPr>
          <w:sz w:val="24"/>
          <w:szCs w:val="24"/>
        </w:rPr>
        <w:t xml:space="preserve"> a cheltuielilor cu bunuri și servicii. În sens opus ar putea acționa o reducere a cheltuielilor de investiții, dar este puțin probabil ca această să poată </w:t>
      </w:r>
      <w:r w:rsidR="00405DBE">
        <w:rPr>
          <w:sz w:val="24"/>
          <w:szCs w:val="24"/>
        </w:rPr>
        <w:t>compensa</w:t>
      </w:r>
      <w:r>
        <w:rPr>
          <w:sz w:val="24"/>
          <w:szCs w:val="24"/>
        </w:rPr>
        <w:t xml:space="preserve"> o eventuală manifestare a riscurilor </w:t>
      </w:r>
      <w:r w:rsidR="002D1146">
        <w:rPr>
          <w:sz w:val="24"/>
          <w:szCs w:val="24"/>
        </w:rPr>
        <w:t>descrise anterior</w:t>
      </w:r>
      <w:r>
        <w:rPr>
          <w:sz w:val="24"/>
          <w:szCs w:val="24"/>
        </w:rPr>
        <w:t xml:space="preserve">. </w:t>
      </w:r>
    </w:p>
    <w:p w14:paraId="64A1A783" w14:textId="0109C21E" w:rsidR="007F18F0" w:rsidRPr="008F61FD" w:rsidRDefault="001B18DE" w:rsidP="003B38CB">
      <w:pPr>
        <w:widowControl w:val="0"/>
        <w:spacing w:after="200" w:line="276" w:lineRule="auto"/>
        <w:jc w:val="both"/>
        <w:rPr>
          <w:sz w:val="24"/>
          <w:szCs w:val="24"/>
        </w:rPr>
      </w:pPr>
      <w:r w:rsidRPr="001B18DE">
        <w:rPr>
          <w:rFonts w:cs="Calibri"/>
          <w:bCs/>
          <w:sz w:val="24"/>
          <w:szCs w:val="24"/>
        </w:rPr>
        <w:t xml:space="preserve">În ceea ce privește perspectivele fiscal-bugetare pe termen mediu, </w:t>
      </w:r>
      <w:r w:rsidRPr="001B18DE">
        <w:rPr>
          <w:sz w:val="24"/>
          <w:szCs w:val="24"/>
        </w:rPr>
        <w:t>considerând politici neschimbate</w:t>
      </w:r>
      <w:r w:rsidR="008E5D9D">
        <w:rPr>
          <w:sz w:val="24"/>
          <w:szCs w:val="24"/>
        </w:rPr>
        <w:t xml:space="preserve"> și toleranță (greu de imaginat) din partea piețelor</w:t>
      </w:r>
      <w:r w:rsidRPr="001B18DE">
        <w:rPr>
          <w:sz w:val="24"/>
          <w:szCs w:val="24"/>
        </w:rPr>
        <w:t>, CF apreciază probabile niveluri ale deficitului bugetar de peste 6% din PIB în anul 2021 și respectiv peste 7% din PIB în anul 2022.</w:t>
      </w:r>
      <w:r>
        <w:rPr>
          <w:sz w:val="24"/>
          <w:szCs w:val="24"/>
        </w:rPr>
        <w:t xml:space="preserve"> În aces</w:t>
      </w:r>
      <w:r w:rsidR="008F61FD">
        <w:rPr>
          <w:sz w:val="24"/>
          <w:szCs w:val="24"/>
        </w:rPr>
        <w:t>te condiții</w:t>
      </w:r>
      <w:r>
        <w:rPr>
          <w:sz w:val="24"/>
          <w:szCs w:val="24"/>
        </w:rPr>
        <w:t xml:space="preserve"> și având în vedere contextul economic intern și intern</w:t>
      </w:r>
      <w:r w:rsidR="008F61FD">
        <w:rPr>
          <w:sz w:val="24"/>
          <w:szCs w:val="24"/>
        </w:rPr>
        <w:t>ațio</w:t>
      </w:r>
      <w:r>
        <w:rPr>
          <w:sz w:val="24"/>
          <w:szCs w:val="24"/>
        </w:rPr>
        <w:t>nal</w:t>
      </w:r>
      <w:r w:rsidR="008F61FD">
        <w:rPr>
          <w:sz w:val="24"/>
          <w:szCs w:val="24"/>
        </w:rPr>
        <w:t xml:space="preserve"> complicat</w:t>
      </w:r>
      <w:r>
        <w:rPr>
          <w:sz w:val="24"/>
          <w:szCs w:val="24"/>
        </w:rPr>
        <w:t xml:space="preserve">, inclusiv din perspectiva disponibilității </w:t>
      </w:r>
      <w:r w:rsidR="005E35E8" w:rsidRPr="002312EE">
        <w:rPr>
          <w:sz w:val="24"/>
          <w:szCs w:val="24"/>
        </w:rPr>
        <w:t xml:space="preserve">și costurilor </w:t>
      </w:r>
      <w:r>
        <w:rPr>
          <w:sz w:val="24"/>
          <w:szCs w:val="24"/>
        </w:rPr>
        <w:t xml:space="preserve">finanțării, </w:t>
      </w:r>
      <w:r w:rsidR="008E5D9D">
        <w:rPr>
          <w:sz w:val="24"/>
          <w:szCs w:val="24"/>
        </w:rPr>
        <w:t xml:space="preserve">este </w:t>
      </w:r>
      <w:r>
        <w:rPr>
          <w:sz w:val="24"/>
          <w:szCs w:val="24"/>
        </w:rPr>
        <w:t xml:space="preserve">evidentă necesitatea adoptării </w:t>
      </w:r>
      <w:r w:rsidR="00405DBE">
        <w:rPr>
          <w:sz w:val="24"/>
          <w:szCs w:val="24"/>
        </w:rPr>
        <w:t>cat mai rapide</w:t>
      </w:r>
      <w:r>
        <w:rPr>
          <w:sz w:val="24"/>
          <w:szCs w:val="24"/>
        </w:rPr>
        <w:t xml:space="preserve"> de măsuri corective de amploare</w:t>
      </w:r>
      <w:r w:rsidR="00405DBE">
        <w:rPr>
          <w:sz w:val="24"/>
          <w:szCs w:val="24"/>
        </w:rPr>
        <w:t>,</w:t>
      </w:r>
      <w:r>
        <w:rPr>
          <w:sz w:val="24"/>
          <w:szCs w:val="24"/>
        </w:rPr>
        <w:t xml:space="preserve"> capabile să readucă </w:t>
      </w:r>
      <w:r w:rsidR="008E5D9D">
        <w:rPr>
          <w:sz w:val="24"/>
          <w:szCs w:val="24"/>
        </w:rPr>
        <w:t>situa</w:t>
      </w:r>
      <w:r w:rsidR="003B38CB">
        <w:rPr>
          <w:sz w:val="24"/>
          <w:szCs w:val="24"/>
        </w:rPr>
        <w:t>ți</w:t>
      </w:r>
      <w:r w:rsidR="008E5D9D">
        <w:rPr>
          <w:sz w:val="24"/>
          <w:szCs w:val="24"/>
        </w:rPr>
        <w:t xml:space="preserve">a </w:t>
      </w:r>
      <w:r>
        <w:rPr>
          <w:sz w:val="24"/>
          <w:szCs w:val="24"/>
        </w:rPr>
        <w:t>fiscal-bugetară pe o traiectorie sustenabilă</w:t>
      </w:r>
      <w:r w:rsidR="008E5D9D">
        <w:rPr>
          <w:sz w:val="24"/>
          <w:szCs w:val="24"/>
        </w:rPr>
        <w:t>,</w:t>
      </w:r>
      <w:r>
        <w:rPr>
          <w:sz w:val="24"/>
          <w:szCs w:val="24"/>
        </w:rPr>
        <w:t xml:space="preserve"> și în conformitate cu regulile fiscale naționale și europene. </w:t>
      </w:r>
    </w:p>
    <w:p w14:paraId="15DA0036" w14:textId="46F30FDC" w:rsidR="006E7C04" w:rsidRPr="00226ED6" w:rsidRDefault="00D865EE" w:rsidP="003B38CB">
      <w:pPr>
        <w:spacing w:after="200" w:line="276" w:lineRule="auto"/>
        <w:jc w:val="both"/>
        <w:rPr>
          <w:sz w:val="24"/>
          <w:szCs w:val="24"/>
        </w:rPr>
      </w:pPr>
      <w:r w:rsidRPr="00226ED6">
        <w:rPr>
          <w:sz w:val="24"/>
          <w:szCs w:val="24"/>
        </w:rPr>
        <w:t>O</w:t>
      </w:r>
      <w:r w:rsidR="006E7C04" w:rsidRPr="00226ED6">
        <w:rPr>
          <w:sz w:val="24"/>
          <w:szCs w:val="24"/>
        </w:rPr>
        <w:t>piniile şi recomandările formulate mai sus de Consiliul Fiscal au fost aprobate de Preşedintele Consiliului Fiscal, conform prevederilor art. 43, alin (2), lit d) din Legea nr. 69/2010, în urma însuşirii acestora de către membrii Consiliului</w:t>
      </w:r>
      <w:r w:rsidR="00D312D5" w:rsidRPr="00226ED6">
        <w:rPr>
          <w:sz w:val="24"/>
          <w:szCs w:val="24"/>
        </w:rPr>
        <w:t xml:space="preserve"> </w:t>
      </w:r>
      <w:r w:rsidR="001B18DE" w:rsidRPr="00226ED6">
        <w:rPr>
          <w:sz w:val="24"/>
          <w:szCs w:val="24"/>
        </w:rPr>
        <w:t>prin vot, în şedinţa din data 22</w:t>
      </w:r>
      <w:r w:rsidR="00D312D5" w:rsidRPr="00226ED6">
        <w:rPr>
          <w:sz w:val="24"/>
          <w:szCs w:val="24"/>
        </w:rPr>
        <w:t xml:space="preserve"> ianuarie 2020</w:t>
      </w:r>
      <w:r w:rsidR="006E7C04" w:rsidRPr="00226ED6">
        <w:rPr>
          <w:sz w:val="24"/>
          <w:szCs w:val="24"/>
        </w:rPr>
        <w:t>.</w:t>
      </w:r>
    </w:p>
    <w:p w14:paraId="74C71DC7" w14:textId="77777777" w:rsidR="006E7C04" w:rsidRPr="008F61FD" w:rsidRDefault="006E7C04" w:rsidP="003B38CB">
      <w:pPr>
        <w:widowControl w:val="0"/>
        <w:autoSpaceDE w:val="0"/>
        <w:autoSpaceDN w:val="0"/>
        <w:adjustRightInd w:val="0"/>
        <w:spacing w:after="200" w:line="276" w:lineRule="auto"/>
        <w:rPr>
          <w:rFonts w:ascii="Calibri" w:eastAsia="Calibri" w:hAnsi="Calibri" w:cs="Calibri"/>
          <w:bCs/>
          <w:sz w:val="24"/>
          <w:szCs w:val="24"/>
        </w:rPr>
      </w:pPr>
    </w:p>
    <w:p w14:paraId="5A43AD9A" w14:textId="5E3A41F8" w:rsidR="004444C6" w:rsidRPr="008F61FD" w:rsidRDefault="00D312D5" w:rsidP="003B38CB">
      <w:pPr>
        <w:widowControl w:val="0"/>
        <w:autoSpaceDE w:val="0"/>
        <w:autoSpaceDN w:val="0"/>
        <w:adjustRightInd w:val="0"/>
        <w:spacing w:after="200" w:line="276" w:lineRule="auto"/>
        <w:rPr>
          <w:rFonts w:ascii="Calibri" w:eastAsia="Calibri" w:hAnsi="Calibri" w:cs="Calibri"/>
          <w:bCs/>
          <w:sz w:val="24"/>
          <w:szCs w:val="24"/>
        </w:rPr>
      </w:pPr>
      <w:r w:rsidRPr="008F61FD">
        <w:rPr>
          <w:rFonts w:ascii="Calibri" w:eastAsia="Calibri" w:hAnsi="Calibri" w:cs="Calibri"/>
          <w:bCs/>
          <w:sz w:val="24"/>
          <w:szCs w:val="24"/>
        </w:rPr>
        <w:t>2</w:t>
      </w:r>
      <w:r w:rsidR="001B18DE" w:rsidRPr="008F61FD">
        <w:rPr>
          <w:rFonts w:ascii="Calibri" w:eastAsia="Calibri" w:hAnsi="Calibri" w:cs="Calibri"/>
          <w:bCs/>
          <w:sz w:val="24"/>
          <w:szCs w:val="24"/>
        </w:rPr>
        <w:t>2</w:t>
      </w:r>
      <w:r w:rsidR="000E105B" w:rsidRPr="008F61FD">
        <w:rPr>
          <w:rFonts w:ascii="Calibri" w:eastAsia="Calibri" w:hAnsi="Calibri" w:cs="Calibri"/>
          <w:bCs/>
          <w:sz w:val="24"/>
          <w:szCs w:val="24"/>
        </w:rPr>
        <w:t xml:space="preserve"> </w:t>
      </w:r>
      <w:r w:rsidRPr="008F61FD">
        <w:rPr>
          <w:rFonts w:ascii="Calibri" w:eastAsia="Calibri" w:hAnsi="Calibri" w:cs="Calibri"/>
          <w:bCs/>
          <w:sz w:val="24"/>
          <w:szCs w:val="24"/>
        </w:rPr>
        <w:t>ianuarie 2020</w:t>
      </w:r>
      <w:r w:rsidR="004444C6" w:rsidRPr="008F61FD">
        <w:rPr>
          <w:rFonts w:ascii="Calibri" w:eastAsia="Calibri" w:hAnsi="Calibri" w:cs="Calibri"/>
          <w:bCs/>
          <w:sz w:val="24"/>
          <w:szCs w:val="24"/>
        </w:rPr>
        <w:tab/>
      </w:r>
      <w:r w:rsidR="004444C6" w:rsidRPr="008F61FD">
        <w:rPr>
          <w:rFonts w:ascii="Calibri" w:eastAsia="Calibri" w:hAnsi="Calibri" w:cs="Calibri"/>
          <w:bCs/>
          <w:sz w:val="24"/>
          <w:szCs w:val="24"/>
        </w:rPr>
        <w:tab/>
      </w:r>
      <w:r w:rsidR="004444C6" w:rsidRPr="008F61FD">
        <w:rPr>
          <w:rFonts w:ascii="Calibri" w:eastAsia="Calibri" w:hAnsi="Calibri" w:cs="Calibri"/>
          <w:bCs/>
          <w:sz w:val="24"/>
          <w:szCs w:val="24"/>
        </w:rPr>
        <w:tab/>
      </w:r>
      <w:r w:rsidR="004444C6" w:rsidRPr="008F61FD">
        <w:rPr>
          <w:rFonts w:ascii="Calibri" w:eastAsia="Calibri" w:hAnsi="Calibri" w:cs="Calibri"/>
          <w:bCs/>
          <w:sz w:val="24"/>
          <w:szCs w:val="24"/>
        </w:rPr>
        <w:tab/>
      </w:r>
      <w:r w:rsidR="004444C6" w:rsidRPr="008F61FD">
        <w:rPr>
          <w:rFonts w:ascii="Calibri" w:eastAsia="Calibri" w:hAnsi="Calibri" w:cs="Calibri"/>
          <w:bCs/>
          <w:sz w:val="24"/>
          <w:szCs w:val="24"/>
        </w:rPr>
        <w:tab/>
      </w:r>
      <w:r w:rsidR="004444C6" w:rsidRPr="008F61FD">
        <w:rPr>
          <w:rFonts w:ascii="Calibri" w:eastAsia="Calibri" w:hAnsi="Calibri" w:cs="Calibri"/>
          <w:bCs/>
          <w:sz w:val="24"/>
          <w:szCs w:val="24"/>
        </w:rPr>
        <w:tab/>
      </w:r>
      <w:r w:rsidR="004444C6" w:rsidRPr="008F61FD">
        <w:rPr>
          <w:rFonts w:ascii="Calibri" w:eastAsia="Calibri" w:hAnsi="Calibri" w:cs="Calibri"/>
          <w:bCs/>
          <w:sz w:val="24"/>
          <w:szCs w:val="24"/>
        </w:rPr>
        <w:tab/>
        <w:t xml:space="preserve">    </w:t>
      </w:r>
    </w:p>
    <w:p w14:paraId="365B9205" w14:textId="08A67DAA" w:rsidR="004444C6" w:rsidRDefault="004444C6" w:rsidP="003B38CB">
      <w:pPr>
        <w:widowControl w:val="0"/>
        <w:autoSpaceDE w:val="0"/>
        <w:autoSpaceDN w:val="0"/>
        <w:adjustRightInd w:val="0"/>
        <w:spacing w:after="200" w:line="276" w:lineRule="auto"/>
        <w:jc w:val="right"/>
        <w:rPr>
          <w:rFonts w:ascii="Calibri" w:eastAsia="Calibri" w:hAnsi="Calibri" w:cs="Calibri"/>
          <w:bCs/>
          <w:sz w:val="24"/>
          <w:szCs w:val="24"/>
        </w:rPr>
      </w:pPr>
      <w:r w:rsidRPr="008F61FD">
        <w:rPr>
          <w:rFonts w:ascii="Calibri" w:eastAsia="Calibri" w:hAnsi="Calibri" w:cs="Calibri"/>
          <w:bCs/>
          <w:sz w:val="24"/>
          <w:szCs w:val="24"/>
        </w:rPr>
        <w:t xml:space="preserve">    Președintele Consiliului Fiscal                                                                                                                                                         Acad. Daniel DĂIANU</w:t>
      </w:r>
    </w:p>
    <w:p w14:paraId="762FA9F0" w14:textId="23E7D76B" w:rsidR="00E32EAC" w:rsidRDefault="00E32EAC" w:rsidP="00DC3755">
      <w:pPr>
        <w:widowControl w:val="0"/>
        <w:autoSpaceDE w:val="0"/>
        <w:autoSpaceDN w:val="0"/>
        <w:adjustRightInd w:val="0"/>
        <w:spacing w:after="200" w:line="276" w:lineRule="auto"/>
        <w:jc w:val="right"/>
        <w:rPr>
          <w:rFonts w:ascii="Calibri" w:eastAsia="Calibri" w:hAnsi="Calibri" w:cs="Calibri"/>
          <w:bCs/>
          <w:sz w:val="24"/>
          <w:szCs w:val="24"/>
        </w:rPr>
      </w:pPr>
    </w:p>
    <w:p w14:paraId="103FDDF2" w14:textId="7D32379F" w:rsidR="00581CF5" w:rsidRDefault="00581CF5" w:rsidP="00DC3755">
      <w:pPr>
        <w:widowControl w:val="0"/>
        <w:autoSpaceDE w:val="0"/>
        <w:autoSpaceDN w:val="0"/>
        <w:adjustRightInd w:val="0"/>
        <w:spacing w:after="200" w:line="276" w:lineRule="auto"/>
        <w:jc w:val="right"/>
        <w:rPr>
          <w:rFonts w:ascii="Calibri" w:eastAsia="Calibri" w:hAnsi="Calibri" w:cs="Calibri"/>
          <w:bCs/>
          <w:sz w:val="24"/>
          <w:szCs w:val="24"/>
        </w:rPr>
      </w:pPr>
    </w:p>
    <w:p w14:paraId="0A8CBD22" w14:textId="54408A42" w:rsidR="00581CF5" w:rsidRDefault="00581CF5" w:rsidP="00DC3755">
      <w:pPr>
        <w:widowControl w:val="0"/>
        <w:autoSpaceDE w:val="0"/>
        <w:autoSpaceDN w:val="0"/>
        <w:adjustRightInd w:val="0"/>
        <w:spacing w:after="200" w:line="276" w:lineRule="auto"/>
        <w:jc w:val="right"/>
        <w:rPr>
          <w:rFonts w:ascii="Calibri" w:eastAsia="Calibri" w:hAnsi="Calibri" w:cs="Calibri"/>
          <w:bCs/>
          <w:sz w:val="24"/>
          <w:szCs w:val="24"/>
        </w:rPr>
      </w:pPr>
    </w:p>
    <w:p w14:paraId="4B04D5B3" w14:textId="77777777" w:rsidR="00581CF5" w:rsidRDefault="00581CF5" w:rsidP="00DC3755">
      <w:pPr>
        <w:widowControl w:val="0"/>
        <w:autoSpaceDE w:val="0"/>
        <w:autoSpaceDN w:val="0"/>
        <w:adjustRightInd w:val="0"/>
        <w:spacing w:after="200" w:line="276" w:lineRule="auto"/>
        <w:jc w:val="right"/>
        <w:rPr>
          <w:rFonts w:ascii="Calibri" w:eastAsia="Calibri" w:hAnsi="Calibri" w:cs="Calibri"/>
          <w:bCs/>
          <w:sz w:val="24"/>
          <w:szCs w:val="24"/>
        </w:rPr>
      </w:pPr>
    </w:p>
    <w:p w14:paraId="2DBF72B4" w14:textId="24A02B06" w:rsidR="00A92BFC" w:rsidRDefault="00A92BFC" w:rsidP="00DC3755">
      <w:pPr>
        <w:widowControl w:val="0"/>
        <w:autoSpaceDE w:val="0"/>
        <w:autoSpaceDN w:val="0"/>
        <w:adjustRightInd w:val="0"/>
        <w:spacing w:after="200" w:line="276" w:lineRule="auto"/>
        <w:jc w:val="right"/>
        <w:rPr>
          <w:sz w:val="24"/>
          <w:szCs w:val="24"/>
        </w:rPr>
      </w:pPr>
    </w:p>
    <w:p w14:paraId="2F9F5188" w14:textId="0E07ABC5" w:rsidR="00A92BFC" w:rsidRDefault="00A92BFC" w:rsidP="00DC3755">
      <w:pPr>
        <w:widowControl w:val="0"/>
        <w:autoSpaceDE w:val="0"/>
        <w:autoSpaceDN w:val="0"/>
        <w:adjustRightInd w:val="0"/>
        <w:spacing w:after="200" w:line="276" w:lineRule="auto"/>
        <w:jc w:val="right"/>
        <w:rPr>
          <w:sz w:val="24"/>
          <w:szCs w:val="24"/>
        </w:rPr>
      </w:pPr>
    </w:p>
    <w:p w14:paraId="5755647B" w14:textId="66CDB711" w:rsidR="00A92BFC" w:rsidRDefault="00A92BFC" w:rsidP="00DC3755">
      <w:pPr>
        <w:widowControl w:val="0"/>
        <w:autoSpaceDE w:val="0"/>
        <w:autoSpaceDN w:val="0"/>
        <w:adjustRightInd w:val="0"/>
        <w:spacing w:after="200" w:line="276" w:lineRule="auto"/>
        <w:jc w:val="right"/>
        <w:rPr>
          <w:sz w:val="24"/>
          <w:szCs w:val="24"/>
        </w:rPr>
      </w:pPr>
    </w:p>
    <w:p w14:paraId="7CF50175" w14:textId="6199042C" w:rsidR="002924A1" w:rsidRDefault="002924A1" w:rsidP="00DC3755">
      <w:pPr>
        <w:widowControl w:val="0"/>
        <w:autoSpaceDE w:val="0"/>
        <w:autoSpaceDN w:val="0"/>
        <w:adjustRightInd w:val="0"/>
        <w:spacing w:after="200" w:line="276" w:lineRule="auto"/>
        <w:jc w:val="right"/>
        <w:rPr>
          <w:sz w:val="24"/>
          <w:szCs w:val="24"/>
        </w:rPr>
      </w:pPr>
    </w:p>
    <w:p w14:paraId="4642078B" w14:textId="6E282720" w:rsidR="003B38CB" w:rsidRDefault="003B38CB" w:rsidP="00DC3755">
      <w:pPr>
        <w:widowControl w:val="0"/>
        <w:autoSpaceDE w:val="0"/>
        <w:autoSpaceDN w:val="0"/>
        <w:adjustRightInd w:val="0"/>
        <w:spacing w:after="200" w:line="276" w:lineRule="auto"/>
        <w:jc w:val="right"/>
        <w:rPr>
          <w:sz w:val="24"/>
          <w:szCs w:val="24"/>
        </w:rPr>
      </w:pPr>
    </w:p>
    <w:p w14:paraId="1571E958" w14:textId="4E118C0A" w:rsidR="003B38CB" w:rsidRDefault="003B38CB" w:rsidP="00DC3755">
      <w:pPr>
        <w:widowControl w:val="0"/>
        <w:autoSpaceDE w:val="0"/>
        <w:autoSpaceDN w:val="0"/>
        <w:adjustRightInd w:val="0"/>
        <w:spacing w:after="200" w:line="276" w:lineRule="auto"/>
        <w:jc w:val="right"/>
        <w:rPr>
          <w:sz w:val="24"/>
          <w:szCs w:val="24"/>
        </w:rPr>
      </w:pPr>
    </w:p>
    <w:p w14:paraId="123648E2" w14:textId="4796B322" w:rsidR="003B38CB" w:rsidRDefault="003B38CB" w:rsidP="00DC3755">
      <w:pPr>
        <w:widowControl w:val="0"/>
        <w:autoSpaceDE w:val="0"/>
        <w:autoSpaceDN w:val="0"/>
        <w:adjustRightInd w:val="0"/>
        <w:spacing w:after="200" w:line="276" w:lineRule="auto"/>
        <w:jc w:val="right"/>
        <w:rPr>
          <w:sz w:val="24"/>
          <w:szCs w:val="24"/>
        </w:rPr>
      </w:pPr>
    </w:p>
    <w:p w14:paraId="2BE5CCEF" w14:textId="77777777" w:rsidR="0013229D" w:rsidRDefault="0013229D" w:rsidP="003B38CB">
      <w:pPr>
        <w:rPr>
          <w:b/>
          <w:bCs/>
          <w:i/>
          <w:iCs/>
          <w:sz w:val="24"/>
          <w:szCs w:val="24"/>
        </w:rPr>
      </w:pPr>
    </w:p>
    <w:p w14:paraId="0513FC39" w14:textId="77777777" w:rsidR="0013229D" w:rsidRDefault="0013229D" w:rsidP="003B38CB">
      <w:pPr>
        <w:rPr>
          <w:b/>
          <w:bCs/>
          <w:i/>
          <w:iCs/>
          <w:sz w:val="24"/>
          <w:szCs w:val="24"/>
        </w:rPr>
      </w:pPr>
    </w:p>
    <w:p w14:paraId="5A12A660" w14:textId="77777777" w:rsidR="0013229D" w:rsidRDefault="0013229D" w:rsidP="003B38CB">
      <w:pPr>
        <w:rPr>
          <w:b/>
          <w:bCs/>
          <w:i/>
          <w:iCs/>
          <w:sz w:val="24"/>
          <w:szCs w:val="24"/>
        </w:rPr>
      </w:pPr>
    </w:p>
    <w:p w14:paraId="281BA295" w14:textId="6ABFC5C2" w:rsidR="003B38CB" w:rsidRDefault="003B38CB" w:rsidP="003B38CB">
      <w:pPr>
        <w:rPr>
          <w:b/>
          <w:bCs/>
          <w:i/>
          <w:iCs/>
          <w:sz w:val="24"/>
          <w:szCs w:val="24"/>
        </w:rPr>
      </w:pPr>
      <w:r w:rsidRPr="002924A1">
        <w:rPr>
          <w:b/>
          <w:bCs/>
          <w:i/>
          <w:iCs/>
          <w:sz w:val="24"/>
          <w:szCs w:val="24"/>
        </w:rPr>
        <w:t>ANEXA 1</w:t>
      </w:r>
    </w:p>
    <w:tbl>
      <w:tblPr>
        <w:tblStyle w:val="TableGrid"/>
        <w:tblW w:w="0" w:type="auto"/>
        <w:jc w:val="center"/>
        <w:tblLook w:val="04A0" w:firstRow="1" w:lastRow="0" w:firstColumn="1" w:lastColumn="0" w:noHBand="0" w:noVBand="1"/>
      </w:tblPr>
      <w:tblGrid>
        <w:gridCol w:w="10386"/>
      </w:tblGrid>
      <w:tr w:rsidR="003B38CB" w14:paraId="6F784358" w14:textId="77777777" w:rsidTr="00065DE9">
        <w:trPr>
          <w:jc w:val="center"/>
        </w:trPr>
        <w:tc>
          <w:tcPr>
            <w:tcW w:w="10386" w:type="dxa"/>
            <w:shd w:val="clear" w:color="auto" w:fill="0070C0"/>
          </w:tcPr>
          <w:p w14:paraId="4738F769" w14:textId="4C46D05A" w:rsidR="003B38CB" w:rsidRPr="00107D54" w:rsidRDefault="003B38CB" w:rsidP="00065DE9">
            <w:pPr>
              <w:spacing w:before="120" w:after="120"/>
              <w:jc w:val="center"/>
              <w:rPr>
                <w:b/>
                <w:bCs/>
                <w:sz w:val="24"/>
                <w:szCs w:val="24"/>
              </w:rPr>
            </w:pPr>
            <w:bookmarkStart w:id="1" w:name="_Ref16098448"/>
            <w:r>
              <w:rPr>
                <w:b/>
                <w:bCs/>
                <w:color w:val="FFFFFF" w:themeColor="background1"/>
                <w:sz w:val="24"/>
                <w:szCs w:val="24"/>
              </w:rPr>
              <w:t xml:space="preserve">Graficul 1: </w:t>
            </w:r>
            <w:r w:rsidRPr="00107D54">
              <w:rPr>
                <w:b/>
                <w:bCs/>
                <w:color w:val="FFFFFF" w:themeColor="background1"/>
                <w:sz w:val="24"/>
                <w:szCs w:val="24"/>
              </w:rPr>
              <w:t>Sold</w:t>
            </w:r>
            <w:r w:rsidR="00063297">
              <w:rPr>
                <w:b/>
                <w:bCs/>
                <w:color w:val="FFFFFF" w:themeColor="background1"/>
                <w:sz w:val="24"/>
                <w:szCs w:val="24"/>
              </w:rPr>
              <w:t>ul</w:t>
            </w:r>
            <w:r w:rsidRPr="00107D54">
              <w:rPr>
                <w:b/>
                <w:bCs/>
                <w:color w:val="FFFFFF" w:themeColor="background1"/>
                <w:sz w:val="24"/>
                <w:szCs w:val="24"/>
              </w:rPr>
              <w:t xml:space="preserve"> bugetar</w:t>
            </w:r>
            <w:r w:rsidR="00063297">
              <w:rPr>
                <w:b/>
                <w:bCs/>
                <w:color w:val="FFFFFF" w:themeColor="background1"/>
                <w:sz w:val="24"/>
                <w:szCs w:val="24"/>
              </w:rPr>
              <w:t xml:space="preserve"> în</w:t>
            </w:r>
            <w:r>
              <w:rPr>
                <w:b/>
                <w:bCs/>
                <w:color w:val="FFFFFF" w:themeColor="background1"/>
                <w:sz w:val="24"/>
                <w:szCs w:val="24"/>
              </w:rPr>
              <w:t xml:space="preserve"> țările </w:t>
            </w:r>
            <w:r w:rsidR="00063297">
              <w:rPr>
                <w:b/>
                <w:bCs/>
                <w:color w:val="FFFFFF" w:themeColor="background1"/>
                <w:sz w:val="24"/>
                <w:szCs w:val="24"/>
              </w:rPr>
              <w:t xml:space="preserve">din </w:t>
            </w:r>
            <w:r>
              <w:rPr>
                <w:b/>
                <w:bCs/>
                <w:color w:val="FFFFFF" w:themeColor="background1"/>
                <w:sz w:val="24"/>
                <w:szCs w:val="24"/>
              </w:rPr>
              <w:t xml:space="preserve">UE în anul </w:t>
            </w:r>
            <w:r w:rsidRPr="00107D54">
              <w:rPr>
                <w:b/>
                <w:bCs/>
                <w:color w:val="FFFFFF" w:themeColor="background1"/>
                <w:sz w:val="24"/>
                <w:szCs w:val="24"/>
              </w:rPr>
              <w:t>2019 (% din PIB</w:t>
            </w:r>
            <w:r w:rsidR="006725D7">
              <w:rPr>
                <w:b/>
                <w:bCs/>
                <w:color w:val="FFFFFF" w:themeColor="background1"/>
                <w:sz w:val="24"/>
                <w:szCs w:val="24"/>
              </w:rPr>
              <w:t>, standarde ESA 2010</w:t>
            </w:r>
            <w:r w:rsidRPr="00107D54">
              <w:rPr>
                <w:b/>
                <w:bCs/>
                <w:color w:val="FFFFFF" w:themeColor="background1"/>
                <w:sz w:val="24"/>
                <w:szCs w:val="24"/>
              </w:rPr>
              <w:t>)</w:t>
            </w:r>
          </w:p>
        </w:tc>
      </w:tr>
      <w:tr w:rsidR="003B38CB" w14:paraId="210AE6A2" w14:textId="77777777" w:rsidTr="00065DE9">
        <w:trPr>
          <w:jc w:val="center"/>
        </w:trPr>
        <w:tc>
          <w:tcPr>
            <w:tcW w:w="10386" w:type="dxa"/>
          </w:tcPr>
          <w:p w14:paraId="73BC7CC1" w14:textId="616AC23B" w:rsidR="003B38CB" w:rsidRDefault="00347176" w:rsidP="00065DE9">
            <w:r>
              <w:rPr>
                <w:noProof/>
                <w:lang w:eastAsia="ro-RO"/>
              </w:rPr>
              <w:drawing>
                <wp:inline distT="0" distB="0" distL="0" distR="0" wp14:anchorId="424F56AB" wp14:editId="71DA5E91">
                  <wp:extent cx="6450330" cy="3200400"/>
                  <wp:effectExtent l="0" t="0" r="762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50330" cy="3200400"/>
                          </a:xfrm>
                          <a:prstGeom prst="rect">
                            <a:avLst/>
                          </a:prstGeom>
                          <a:noFill/>
                        </pic:spPr>
                      </pic:pic>
                    </a:graphicData>
                  </a:graphic>
                </wp:inline>
              </w:drawing>
            </w:r>
          </w:p>
        </w:tc>
      </w:tr>
    </w:tbl>
    <w:p w14:paraId="3A3EABB2" w14:textId="77777777" w:rsidR="003B38CB" w:rsidRDefault="003B38CB" w:rsidP="003B38CB">
      <w:pPr>
        <w:spacing w:after="0"/>
        <w:jc w:val="both"/>
        <w:rPr>
          <w:i/>
          <w:iCs/>
          <w:sz w:val="24"/>
          <w:szCs w:val="24"/>
        </w:rPr>
      </w:pPr>
      <w:r w:rsidRPr="00A448A7">
        <w:rPr>
          <w:i/>
          <w:iCs/>
          <w:sz w:val="24"/>
          <w:szCs w:val="24"/>
        </w:rPr>
        <w:t>Sursa:</w:t>
      </w:r>
      <w:r>
        <w:rPr>
          <w:i/>
          <w:iCs/>
          <w:sz w:val="24"/>
          <w:szCs w:val="24"/>
        </w:rPr>
        <w:t xml:space="preserve"> Ameco</w:t>
      </w:r>
    </w:p>
    <w:p w14:paraId="114D9326" w14:textId="77777777" w:rsidR="003B38CB" w:rsidRPr="00386049" w:rsidRDefault="003B38CB" w:rsidP="003B38CB">
      <w:pPr>
        <w:spacing w:after="0"/>
        <w:jc w:val="both"/>
        <w:rPr>
          <w:i/>
          <w:iCs/>
          <w:sz w:val="24"/>
          <w:szCs w:val="24"/>
        </w:rPr>
      </w:pPr>
    </w:p>
    <w:tbl>
      <w:tblPr>
        <w:tblStyle w:val="TableGrid"/>
        <w:tblW w:w="0" w:type="auto"/>
        <w:jc w:val="center"/>
        <w:tblLook w:val="04A0" w:firstRow="1" w:lastRow="0" w:firstColumn="1" w:lastColumn="0" w:noHBand="0" w:noVBand="1"/>
      </w:tblPr>
      <w:tblGrid>
        <w:gridCol w:w="10364"/>
      </w:tblGrid>
      <w:tr w:rsidR="003B38CB" w14:paraId="35D764F3" w14:textId="77777777" w:rsidTr="00065DE9">
        <w:trPr>
          <w:jc w:val="center"/>
        </w:trPr>
        <w:tc>
          <w:tcPr>
            <w:tcW w:w="10352" w:type="dxa"/>
            <w:shd w:val="clear" w:color="auto" w:fill="0070C0"/>
          </w:tcPr>
          <w:p w14:paraId="6812D738" w14:textId="3E83A28A" w:rsidR="003B38CB" w:rsidRPr="00107D54" w:rsidRDefault="003B38CB" w:rsidP="00065DE9">
            <w:pPr>
              <w:spacing w:before="120" w:after="120"/>
              <w:jc w:val="center"/>
              <w:rPr>
                <w:sz w:val="24"/>
                <w:szCs w:val="24"/>
              </w:rPr>
            </w:pPr>
            <w:r>
              <w:rPr>
                <w:b/>
                <w:bCs/>
                <w:color w:val="FFFFFF" w:themeColor="background1"/>
                <w:sz w:val="24"/>
                <w:szCs w:val="24"/>
              </w:rPr>
              <w:t xml:space="preserve">Graficul 2: </w:t>
            </w:r>
            <w:r w:rsidRPr="00107D54">
              <w:rPr>
                <w:b/>
                <w:bCs/>
                <w:color w:val="FFFFFF" w:themeColor="background1"/>
                <w:sz w:val="24"/>
                <w:szCs w:val="24"/>
              </w:rPr>
              <w:t xml:space="preserve">Diferență sold bugetar 2019-2015 </w:t>
            </w:r>
            <w:r>
              <w:rPr>
                <w:b/>
                <w:bCs/>
                <w:color w:val="FFFFFF" w:themeColor="background1"/>
                <w:sz w:val="24"/>
                <w:szCs w:val="24"/>
              </w:rPr>
              <w:t xml:space="preserve">în țările din UE </w:t>
            </w:r>
            <w:r w:rsidRPr="00107D54">
              <w:rPr>
                <w:b/>
                <w:bCs/>
                <w:color w:val="FFFFFF" w:themeColor="background1"/>
                <w:sz w:val="24"/>
                <w:szCs w:val="24"/>
              </w:rPr>
              <w:t>(pp din PIB</w:t>
            </w:r>
            <w:r w:rsidR="0005088A">
              <w:rPr>
                <w:b/>
                <w:bCs/>
                <w:color w:val="FFFFFF" w:themeColor="background1"/>
                <w:sz w:val="24"/>
                <w:szCs w:val="24"/>
              </w:rPr>
              <w:t>, standarde ESA 2010</w:t>
            </w:r>
            <w:r w:rsidRPr="00107D54">
              <w:rPr>
                <w:b/>
                <w:bCs/>
                <w:color w:val="FFFFFF" w:themeColor="background1"/>
                <w:sz w:val="24"/>
                <w:szCs w:val="24"/>
              </w:rPr>
              <w:t>)</w:t>
            </w:r>
          </w:p>
        </w:tc>
      </w:tr>
      <w:tr w:rsidR="003B38CB" w14:paraId="2F01369D" w14:textId="77777777" w:rsidTr="00065DE9">
        <w:trPr>
          <w:jc w:val="center"/>
        </w:trPr>
        <w:tc>
          <w:tcPr>
            <w:tcW w:w="10352" w:type="dxa"/>
          </w:tcPr>
          <w:p w14:paraId="23487D72" w14:textId="5595FE6C" w:rsidR="003B38CB" w:rsidRDefault="00347176" w:rsidP="00065DE9">
            <w:r>
              <w:rPr>
                <w:noProof/>
                <w:lang w:eastAsia="ro-RO"/>
              </w:rPr>
              <w:lastRenderedPageBreak/>
              <w:drawing>
                <wp:inline distT="0" distB="0" distL="0" distR="0" wp14:anchorId="7018A194" wp14:editId="67D44633">
                  <wp:extent cx="6443980" cy="3365500"/>
                  <wp:effectExtent l="0" t="0" r="0" b="635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43980" cy="3365500"/>
                          </a:xfrm>
                          <a:prstGeom prst="rect">
                            <a:avLst/>
                          </a:prstGeom>
                          <a:noFill/>
                        </pic:spPr>
                      </pic:pic>
                    </a:graphicData>
                  </a:graphic>
                </wp:inline>
              </w:drawing>
            </w:r>
          </w:p>
        </w:tc>
      </w:tr>
    </w:tbl>
    <w:p w14:paraId="5C98E15A" w14:textId="6F1D8ABB" w:rsidR="003B38CB" w:rsidRPr="00386049" w:rsidRDefault="003B38CB" w:rsidP="003B38CB">
      <w:pPr>
        <w:spacing w:after="0"/>
        <w:jc w:val="both"/>
        <w:rPr>
          <w:i/>
          <w:iCs/>
          <w:sz w:val="24"/>
          <w:szCs w:val="24"/>
        </w:rPr>
      </w:pPr>
      <w:r w:rsidRPr="00A448A7">
        <w:rPr>
          <w:i/>
          <w:iCs/>
          <w:sz w:val="24"/>
          <w:szCs w:val="24"/>
        </w:rPr>
        <w:t>Sursa:</w:t>
      </w:r>
      <w:r>
        <w:rPr>
          <w:i/>
          <w:iCs/>
          <w:sz w:val="24"/>
          <w:szCs w:val="24"/>
        </w:rPr>
        <w:t xml:space="preserve"> Ameco, calcule </w:t>
      </w:r>
      <w:r w:rsidR="00063297">
        <w:rPr>
          <w:i/>
          <w:iCs/>
          <w:sz w:val="24"/>
          <w:szCs w:val="24"/>
        </w:rPr>
        <w:t>CF</w:t>
      </w:r>
    </w:p>
    <w:tbl>
      <w:tblPr>
        <w:tblStyle w:val="TableGrid"/>
        <w:tblW w:w="4977" w:type="pct"/>
        <w:jc w:val="center"/>
        <w:tblLook w:val="04A0" w:firstRow="1" w:lastRow="0" w:firstColumn="1" w:lastColumn="0" w:noHBand="0" w:noVBand="1"/>
      </w:tblPr>
      <w:tblGrid>
        <w:gridCol w:w="10564"/>
      </w:tblGrid>
      <w:tr w:rsidR="003B38CB" w14:paraId="4EE111D4" w14:textId="77777777" w:rsidTr="0029683C">
        <w:trPr>
          <w:jc w:val="center"/>
        </w:trPr>
        <w:tc>
          <w:tcPr>
            <w:tcW w:w="5000" w:type="pct"/>
            <w:shd w:val="clear" w:color="auto" w:fill="0070C0"/>
          </w:tcPr>
          <w:p w14:paraId="700A1C00" w14:textId="29918F03" w:rsidR="003B38CB" w:rsidRPr="00107D54" w:rsidRDefault="003B38CB" w:rsidP="00065DE9">
            <w:pPr>
              <w:spacing w:before="120" w:after="120"/>
              <w:jc w:val="center"/>
              <w:rPr>
                <w:sz w:val="24"/>
                <w:szCs w:val="24"/>
                <w:lang w:val="en-US"/>
              </w:rPr>
            </w:pPr>
            <w:r>
              <w:rPr>
                <w:b/>
                <w:bCs/>
                <w:color w:val="FFFFFF" w:themeColor="background1"/>
                <w:sz w:val="24"/>
                <w:szCs w:val="24"/>
                <w:lang w:val="en-US"/>
              </w:rPr>
              <w:t xml:space="preserve">Graficul 3: </w:t>
            </w:r>
            <w:r w:rsidRPr="00107D54">
              <w:rPr>
                <w:b/>
                <w:bCs/>
                <w:color w:val="FFFFFF" w:themeColor="background1"/>
                <w:sz w:val="24"/>
                <w:szCs w:val="24"/>
                <w:lang w:val="en-US"/>
              </w:rPr>
              <w:t>Sold</w:t>
            </w:r>
            <w:r w:rsidR="00063297">
              <w:rPr>
                <w:b/>
                <w:bCs/>
                <w:color w:val="FFFFFF" w:themeColor="background1"/>
                <w:sz w:val="24"/>
                <w:szCs w:val="24"/>
                <w:lang w:val="en-US"/>
              </w:rPr>
              <w:t>ul</w:t>
            </w:r>
            <w:r w:rsidRPr="00107D54">
              <w:rPr>
                <w:b/>
                <w:bCs/>
                <w:color w:val="FFFFFF" w:themeColor="background1"/>
                <w:sz w:val="24"/>
                <w:szCs w:val="24"/>
                <w:lang w:val="en-US"/>
              </w:rPr>
              <w:t xml:space="preserve"> </w:t>
            </w:r>
            <w:r>
              <w:rPr>
                <w:b/>
                <w:bCs/>
                <w:color w:val="FFFFFF" w:themeColor="background1"/>
                <w:sz w:val="24"/>
                <w:szCs w:val="24"/>
                <w:lang w:val="en-US"/>
              </w:rPr>
              <w:t xml:space="preserve">bugetar </w:t>
            </w:r>
            <w:r w:rsidRPr="00107D54">
              <w:rPr>
                <w:b/>
                <w:bCs/>
                <w:color w:val="FFFFFF" w:themeColor="background1"/>
                <w:sz w:val="24"/>
                <w:szCs w:val="24"/>
                <w:lang w:val="en-US"/>
              </w:rPr>
              <w:t>structural</w:t>
            </w:r>
            <w:r>
              <w:rPr>
                <w:b/>
                <w:bCs/>
                <w:color w:val="FFFFFF" w:themeColor="background1"/>
                <w:sz w:val="24"/>
                <w:szCs w:val="24"/>
                <w:lang w:val="en-US"/>
              </w:rPr>
              <w:t xml:space="preserve"> în țările din UE</w:t>
            </w:r>
            <w:r w:rsidR="00113AA5">
              <w:rPr>
                <w:b/>
                <w:bCs/>
                <w:color w:val="FFFFFF" w:themeColor="background1"/>
                <w:sz w:val="24"/>
                <w:szCs w:val="24"/>
                <w:lang w:val="en-US"/>
              </w:rPr>
              <w:t xml:space="preserve"> în </w:t>
            </w:r>
            <w:r w:rsidR="00902A87">
              <w:rPr>
                <w:b/>
                <w:bCs/>
                <w:color w:val="FFFFFF" w:themeColor="background1"/>
                <w:sz w:val="24"/>
                <w:szCs w:val="24"/>
                <w:lang w:val="en-US"/>
              </w:rPr>
              <w:t>a</w:t>
            </w:r>
            <w:r w:rsidR="00113AA5">
              <w:rPr>
                <w:b/>
                <w:bCs/>
                <w:color w:val="FFFFFF" w:themeColor="background1"/>
                <w:sz w:val="24"/>
                <w:szCs w:val="24"/>
                <w:lang w:val="en-US"/>
              </w:rPr>
              <w:t>nul 2019</w:t>
            </w:r>
            <w:r w:rsidRPr="00107D54">
              <w:rPr>
                <w:b/>
                <w:bCs/>
                <w:color w:val="FFFFFF" w:themeColor="background1"/>
                <w:sz w:val="24"/>
                <w:szCs w:val="24"/>
                <w:lang w:val="en-US"/>
              </w:rPr>
              <w:t xml:space="preserve"> (% din PIB potențial)</w:t>
            </w:r>
          </w:p>
        </w:tc>
      </w:tr>
      <w:tr w:rsidR="003B38CB" w14:paraId="603FEC0F" w14:textId="77777777" w:rsidTr="0029683C">
        <w:trPr>
          <w:jc w:val="center"/>
        </w:trPr>
        <w:tc>
          <w:tcPr>
            <w:tcW w:w="5000" w:type="pct"/>
          </w:tcPr>
          <w:p w14:paraId="2B75C629" w14:textId="4E0D2D31" w:rsidR="003B38CB" w:rsidRDefault="00347176" w:rsidP="00065DE9">
            <w:r>
              <w:rPr>
                <w:noProof/>
                <w:lang w:eastAsia="ro-RO"/>
              </w:rPr>
              <w:drawing>
                <wp:inline distT="0" distB="0" distL="0" distR="0" wp14:anchorId="52E4E2DF" wp14:editId="79D4A96E">
                  <wp:extent cx="6483350" cy="3474720"/>
                  <wp:effectExtent l="0" t="0" r="0" b="0"/>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3350" cy="3474720"/>
                          </a:xfrm>
                          <a:prstGeom prst="rect">
                            <a:avLst/>
                          </a:prstGeom>
                          <a:noFill/>
                        </pic:spPr>
                      </pic:pic>
                    </a:graphicData>
                  </a:graphic>
                </wp:inline>
              </w:drawing>
            </w:r>
          </w:p>
        </w:tc>
      </w:tr>
    </w:tbl>
    <w:p w14:paraId="0F4FDB23" w14:textId="77777777" w:rsidR="003B38CB" w:rsidRDefault="003B38CB" w:rsidP="003B38CB">
      <w:pPr>
        <w:spacing w:after="0"/>
        <w:rPr>
          <w:i/>
          <w:iCs/>
          <w:sz w:val="24"/>
          <w:szCs w:val="24"/>
        </w:rPr>
      </w:pPr>
      <w:r w:rsidRPr="00A448A7">
        <w:rPr>
          <w:i/>
          <w:iCs/>
          <w:sz w:val="24"/>
          <w:szCs w:val="24"/>
        </w:rPr>
        <w:t>Sursa: Ameco</w:t>
      </w:r>
    </w:p>
    <w:p w14:paraId="05967F79" w14:textId="77777777" w:rsidR="003B38CB" w:rsidRDefault="003B38CB" w:rsidP="003B38CB"/>
    <w:tbl>
      <w:tblPr>
        <w:tblStyle w:val="TableGrid"/>
        <w:tblW w:w="0" w:type="auto"/>
        <w:jc w:val="center"/>
        <w:tblLook w:val="04A0" w:firstRow="1" w:lastRow="0" w:firstColumn="1" w:lastColumn="0" w:noHBand="0" w:noVBand="1"/>
      </w:tblPr>
      <w:tblGrid>
        <w:gridCol w:w="10426"/>
      </w:tblGrid>
      <w:tr w:rsidR="00643533" w14:paraId="319837AC" w14:textId="77777777" w:rsidTr="00643533">
        <w:trPr>
          <w:jc w:val="center"/>
        </w:trPr>
        <w:tc>
          <w:tcPr>
            <w:tcW w:w="10366" w:type="dxa"/>
            <w:shd w:val="clear" w:color="auto" w:fill="0070C0"/>
          </w:tcPr>
          <w:p w14:paraId="03B77F38" w14:textId="4522E569" w:rsidR="00643533" w:rsidRPr="00113AA5" w:rsidRDefault="00113AA5" w:rsidP="000976E0">
            <w:pPr>
              <w:spacing w:before="120" w:after="120"/>
              <w:jc w:val="center"/>
              <w:rPr>
                <w:sz w:val="24"/>
                <w:szCs w:val="24"/>
                <w:highlight w:val="yellow"/>
              </w:rPr>
            </w:pPr>
            <w:r>
              <w:rPr>
                <w:b/>
                <w:bCs/>
                <w:color w:val="FFFFFF" w:themeColor="background1"/>
                <w:sz w:val="24"/>
                <w:szCs w:val="24"/>
              </w:rPr>
              <w:t>Graficul 4</w:t>
            </w:r>
            <w:r w:rsidR="00643533" w:rsidRPr="00113AA5">
              <w:rPr>
                <w:b/>
                <w:bCs/>
                <w:color w:val="FFFFFF" w:themeColor="background1"/>
                <w:sz w:val="24"/>
                <w:szCs w:val="24"/>
              </w:rPr>
              <w:t xml:space="preserve">: </w:t>
            </w:r>
            <w:r>
              <w:rPr>
                <w:b/>
                <w:bCs/>
                <w:color w:val="FFFFFF" w:themeColor="background1"/>
                <w:sz w:val="24"/>
                <w:szCs w:val="24"/>
              </w:rPr>
              <w:t xml:space="preserve">Soldul contului curent </w:t>
            </w:r>
            <w:r w:rsidR="00643533" w:rsidRPr="00113AA5">
              <w:rPr>
                <w:b/>
                <w:bCs/>
                <w:color w:val="FFFFFF" w:themeColor="background1"/>
                <w:sz w:val="24"/>
                <w:szCs w:val="24"/>
              </w:rPr>
              <w:t>în țările din UE</w:t>
            </w:r>
            <w:r>
              <w:rPr>
                <w:b/>
                <w:bCs/>
                <w:color w:val="FFFFFF" w:themeColor="background1"/>
                <w:sz w:val="24"/>
                <w:szCs w:val="24"/>
              </w:rPr>
              <w:t xml:space="preserve"> în anul 2018</w:t>
            </w:r>
            <w:r w:rsidR="00643533" w:rsidRPr="00113AA5">
              <w:rPr>
                <w:b/>
                <w:bCs/>
                <w:color w:val="FFFFFF" w:themeColor="background1"/>
                <w:sz w:val="24"/>
                <w:szCs w:val="24"/>
              </w:rPr>
              <w:t xml:space="preserve"> </w:t>
            </w:r>
            <w:r w:rsidR="000976E0">
              <w:rPr>
                <w:b/>
                <w:bCs/>
                <w:color w:val="FFFFFF" w:themeColor="background1"/>
                <w:sz w:val="24"/>
                <w:szCs w:val="24"/>
              </w:rPr>
              <w:t>(%</w:t>
            </w:r>
            <w:r w:rsidR="00643533" w:rsidRPr="00113AA5">
              <w:rPr>
                <w:b/>
                <w:bCs/>
                <w:color w:val="FFFFFF" w:themeColor="background1"/>
                <w:sz w:val="24"/>
                <w:szCs w:val="24"/>
              </w:rPr>
              <w:t xml:space="preserve"> din PIB)</w:t>
            </w:r>
          </w:p>
        </w:tc>
      </w:tr>
      <w:tr w:rsidR="00643533" w14:paraId="0EE8665A" w14:textId="77777777" w:rsidTr="00113AA5">
        <w:trPr>
          <w:jc w:val="center"/>
        </w:trPr>
        <w:tc>
          <w:tcPr>
            <w:tcW w:w="10366" w:type="dxa"/>
          </w:tcPr>
          <w:p w14:paraId="379CA165" w14:textId="571F67CB" w:rsidR="00643533" w:rsidRPr="00113AA5" w:rsidRDefault="00347176" w:rsidP="000B4205">
            <w:pPr>
              <w:rPr>
                <w:highlight w:val="yellow"/>
              </w:rPr>
            </w:pPr>
            <w:r w:rsidRPr="00347176">
              <w:rPr>
                <w:noProof/>
                <w:lang w:eastAsia="ro-RO"/>
              </w:rPr>
              <w:lastRenderedPageBreak/>
              <w:drawing>
                <wp:inline distT="0" distB="0" distL="0" distR="0" wp14:anchorId="46A5A0F4" wp14:editId="11A09DB7">
                  <wp:extent cx="6483350" cy="3352800"/>
                  <wp:effectExtent l="0" t="0" r="0" b="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3350" cy="3352800"/>
                          </a:xfrm>
                          <a:prstGeom prst="rect">
                            <a:avLst/>
                          </a:prstGeom>
                          <a:noFill/>
                        </pic:spPr>
                      </pic:pic>
                    </a:graphicData>
                  </a:graphic>
                </wp:inline>
              </w:drawing>
            </w:r>
          </w:p>
        </w:tc>
      </w:tr>
    </w:tbl>
    <w:p w14:paraId="4F79A99E" w14:textId="31A91E5D" w:rsidR="00643533" w:rsidRDefault="00643533" w:rsidP="00643533">
      <w:pPr>
        <w:spacing w:after="0"/>
        <w:rPr>
          <w:i/>
          <w:iCs/>
          <w:sz w:val="24"/>
          <w:szCs w:val="24"/>
        </w:rPr>
      </w:pPr>
      <w:r w:rsidRPr="00A448A7">
        <w:rPr>
          <w:i/>
          <w:iCs/>
          <w:sz w:val="24"/>
          <w:szCs w:val="24"/>
        </w:rPr>
        <w:t xml:space="preserve">Sursa: </w:t>
      </w:r>
      <w:r w:rsidR="00113AA5">
        <w:rPr>
          <w:i/>
          <w:iCs/>
          <w:sz w:val="24"/>
          <w:szCs w:val="24"/>
        </w:rPr>
        <w:t>Eurostat</w:t>
      </w:r>
    </w:p>
    <w:bookmarkEnd w:id="1"/>
    <w:p w14:paraId="724A57E1" w14:textId="77777777" w:rsidR="003B38CB" w:rsidRPr="00113AA5" w:rsidRDefault="003B38CB" w:rsidP="003B38CB">
      <w:pPr>
        <w:rPr>
          <w:b/>
          <w:bCs/>
          <w:i/>
          <w:iCs/>
          <w:sz w:val="24"/>
          <w:szCs w:val="24"/>
        </w:rPr>
      </w:pPr>
      <w:r w:rsidRPr="00113AA5">
        <w:rPr>
          <w:b/>
          <w:bCs/>
          <w:i/>
          <w:iCs/>
          <w:sz w:val="24"/>
          <w:szCs w:val="24"/>
        </w:rPr>
        <w:t>ANEXA 2</w:t>
      </w:r>
    </w:p>
    <w:tbl>
      <w:tblPr>
        <w:tblStyle w:val="TableGrid"/>
        <w:tblW w:w="10526" w:type="dxa"/>
        <w:jc w:val="center"/>
        <w:tblLook w:val="04A0" w:firstRow="1" w:lastRow="0" w:firstColumn="1" w:lastColumn="0" w:noHBand="0" w:noVBand="1"/>
      </w:tblPr>
      <w:tblGrid>
        <w:gridCol w:w="10526"/>
      </w:tblGrid>
      <w:tr w:rsidR="003B38CB" w14:paraId="6F7CF56F" w14:textId="77777777" w:rsidTr="00065DE9">
        <w:trPr>
          <w:jc w:val="center"/>
        </w:trPr>
        <w:tc>
          <w:tcPr>
            <w:tcW w:w="10526" w:type="dxa"/>
            <w:shd w:val="clear" w:color="auto" w:fill="0070C0"/>
            <w:vAlign w:val="center"/>
          </w:tcPr>
          <w:p w14:paraId="291A42AF" w14:textId="0100F95B" w:rsidR="003B38CB" w:rsidRPr="00102353" w:rsidRDefault="003E26B7" w:rsidP="00065DE9">
            <w:pPr>
              <w:spacing w:before="120" w:after="120"/>
              <w:jc w:val="center"/>
              <w:rPr>
                <w:color w:val="FFFFFF" w:themeColor="background1"/>
                <w:sz w:val="24"/>
                <w:szCs w:val="24"/>
                <w:lang w:val="en-US"/>
              </w:rPr>
            </w:pPr>
            <w:r>
              <w:rPr>
                <w:b/>
                <w:bCs/>
                <w:color w:val="FFFFFF" w:themeColor="background1"/>
                <w:sz w:val="24"/>
                <w:szCs w:val="24"/>
              </w:rPr>
              <w:t>Graficul 5</w:t>
            </w:r>
            <w:r w:rsidR="003B38CB" w:rsidRPr="00386049">
              <w:rPr>
                <w:b/>
                <w:bCs/>
                <w:noProof/>
                <w:color w:val="FFFFFF" w:themeColor="background1"/>
                <w:sz w:val="24"/>
                <w:szCs w:val="24"/>
              </w:rPr>
              <w:t>:</w:t>
            </w:r>
            <w:r w:rsidR="003B38CB">
              <w:rPr>
                <w:b/>
                <w:bCs/>
                <w:noProof/>
                <w:color w:val="FFFFFF" w:themeColor="background1"/>
                <w:sz w:val="24"/>
                <w:szCs w:val="24"/>
              </w:rPr>
              <w:t xml:space="preserve"> C</w:t>
            </w:r>
            <w:r w:rsidR="003B38CB" w:rsidRPr="00102353">
              <w:rPr>
                <w:b/>
                <w:bCs/>
                <w:color w:val="FFFFFF" w:themeColor="background1"/>
                <w:sz w:val="24"/>
                <w:szCs w:val="24"/>
              </w:rPr>
              <w:t>heltuieli cu asistența socială</w:t>
            </w:r>
            <w:r w:rsidR="003B38CB">
              <w:rPr>
                <w:b/>
                <w:bCs/>
                <w:color w:val="FFFFFF" w:themeColor="background1"/>
                <w:sz w:val="24"/>
                <w:szCs w:val="24"/>
              </w:rPr>
              <w:t xml:space="preserve"> în perioada 2019 - 2022 </w:t>
            </w:r>
            <w:r w:rsidR="003B38CB" w:rsidRPr="00102353">
              <w:rPr>
                <w:b/>
                <w:bCs/>
                <w:color w:val="FFFFFF" w:themeColor="background1"/>
                <w:sz w:val="24"/>
                <w:szCs w:val="24"/>
              </w:rPr>
              <w:t xml:space="preserve"> (%</w:t>
            </w:r>
            <w:r w:rsidR="003B38CB" w:rsidRPr="00102353">
              <w:rPr>
                <w:b/>
                <w:bCs/>
                <w:color w:val="FFFFFF" w:themeColor="background1"/>
                <w:sz w:val="24"/>
                <w:szCs w:val="24"/>
                <w:lang w:val="en-US"/>
              </w:rPr>
              <w:t xml:space="preserve"> </w:t>
            </w:r>
            <w:r w:rsidR="003B38CB" w:rsidRPr="00102353">
              <w:rPr>
                <w:b/>
                <w:bCs/>
                <w:color w:val="FFFFFF" w:themeColor="background1"/>
                <w:sz w:val="24"/>
                <w:szCs w:val="24"/>
              </w:rPr>
              <w:t xml:space="preserve">PIB, conform metodologiei </w:t>
            </w:r>
            <w:r w:rsidR="003B38CB" w:rsidRPr="00F90C08">
              <w:rPr>
                <w:b/>
                <w:bCs/>
                <w:i/>
                <w:iCs/>
                <w:color w:val="FFFFFF" w:themeColor="background1"/>
                <w:sz w:val="24"/>
                <w:szCs w:val="24"/>
              </w:rPr>
              <w:t>cash</w:t>
            </w:r>
            <w:r w:rsidR="003B38CB">
              <w:rPr>
                <w:b/>
                <w:bCs/>
                <w:i/>
                <w:iCs/>
                <w:color w:val="FFFFFF" w:themeColor="background1"/>
                <w:sz w:val="24"/>
                <w:szCs w:val="24"/>
              </w:rPr>
              <w:t xml:space="preserve">, </w:t>
            </w:r>
            <w:r w:rsidR="003B38CB" w:rsidRPr="00F90C08">
              <w:rPr>
                <w:b/>
                <w:bCs/>
                <w:color w:val="FFFFFF" w:themeColor="background1"/>
                <w:sz w:val="24"/>
                <w:szCs w:val="24"/>
              </w:rPr>
              <w:t>estimare şi proiecţii CF)</w:t>
            </w:r>
          </w:p>
        </w:tc>
      </w:tr>
      <w:tr w:rsidR="003B38CB" w14:paraId="6DFCFA3C" w14:textId="77777777" w:rsidTr="00065DE9">
        <w:trPr>
          <w:jc w:val="center"/>
        </w:trPr>
        <w:tc>
          <w:tcPr>
            <w:tcW w:w="10526" w:type="dxa"/>
          </w:tcPr>
          <w:p w14:paraId="27E09691" w14:textId="38867600" w:rsidR="003B38CB" w:rsidRDefault="0013229D" w:rsidP="00065DE9">
            <w:r>
              <w:rPr>
                <w:noProof/>
                <w:lang w:eastAsia="ro-RO"/>
              </w:rPr>
              <w:drawing>
                <wp:inline distT="0" distB="0" distL="0" distR="0" wp14:anchorId="55EBD277" wp14:editId="137632C5">
                  <wp:extent cx="6480810" cy="2512060"/>
                  <wp:effectExtent l="0" t="0" r="0" b="2540"/>
                  <wp:docPr id="13" name="I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0810" cy="2512060"/>
                          </a:xfrm>
                          <a:prstGeom prst="rect">
                            <a:avLst/>
                          </a:prstGeom>
                          <a:noFill/>
                        </pic:spPr>
                      </pic:pic>
                    </a:graphicData>
                  </a:graphic>
                </wp:inline>
              </w:drawing>
            </w:r>
          </w:p>
        </w:tc>
      </w:tr>
    </w:tbl>
    <w:p w14:paraId="1D18CD87" w14:textId="77777777" w:rsidR="003B38CB" w:rsidRPr="00386049" w:rsidRDefault="003B38CB" w:rsidP="003B38CB">
      <w:pPr>
        <w:ind w:left="-142" w:right="-518"/>
        <w:jc w:val="both"/>
        <w:rPr>
          <w:i/>
          <w:iCs/>
          <w:sz w:val="24"/>
          <w:szCs w:val="24"/>
        </w:rPr>
      </w:pPr>
      <w:r w:rsidRPr="002924A1">
        <w:rPr>
          <w:i/>
          <w:iCs/>
          <w:sz w:val="24"/>
          <w:szCs w:val="24"/>
        </w:rPr>
        <w:t xml:space="preserve">Sursa: </w:t>
      </w:r>
      <w:r>
        <w:rPr>
          <w:i/>
          <w:iCs/>
          <w:sz w:val="24"/>
          <w:szCs w:val="24"/>
        </w:rPr>
        <w:t>C</w:t>
      </w:r>
      <w:r w:rsidRPr="002924A1">
        <w:rPr>
          <w:i/>
          <w:iCs/>
          <w:sz w:val="24"/>
          <w:szCs w:val="24"/>
        </w:rPr>
        <w:t xml:space="preserve">alcule </w:t>
      </w:r>
      <w:r>
        <w:rPr>
          <w:i/>
          <w:iCs/>
          <w:sz w:val="24"/>
          <w:szCs w:val="24"/>
        </w:rPr>
        <w:t xml:space="preserve">CF </w:t>
      </w:r>
      <w:r w:rsidRPr="002924A1">
        <w:rPr>
          <w:i/>
          <w:iCs/>
          <w:sz w:val="24"/>
          <w:szCs w:val="24"/>
        </w:rPr>
        <w:t>pe baza impactului calculat de MFP în nota de fundamentare care</w:t>
      </w:r>
      <w:r>
        <w:rPr>
          <w:i/>
          <w:iCs/>
          <w:sz w:val="24"/>
          <w:szCs w:val="24"/>
        </w:rPr>
        <w:t xml:space="preserve"> </w:t>
      </w:r>
      <w:r w:rsidRPr="002924A1">
        <w:rPr>
          <w:i/>
          <w:iCs/>
          <w:sz w:val="24"/>
          <w:szCs w:val="24"/>
        </w:rPr>
        <w:t>însoțește legea</w:t>
      </w:r>
      <w:r>
        <w:rPr>
          <w:i/>
          <w:iCs/>
          <w:sz w:val="24"/>
          <w:szCs w:val="24"/>
        </w:rPr>
        <w:t>, CNSP</w:t>
      </w:r>
    </w:p>
    <w:tbl>
      <w:tblPr>
        <w:tblW w:w="10594" w:type="dxa"/>
        <w:jc w:val="center"/>
        <w:tblCellMar>
          <w:left w:w="0" w:type="dxa"/>
          <w:right w:w="0" w:type="dxa"/>
        </w:tblCellMar>
        <w:tblLook w:val="04A0" w:firstRow="1" w:lastRow="0" w:firstColumn="1" w:lastColumn="0" w:noHBand="0" w:noVBand="1"/>
      </w:tblPr>
      <w:tblGrid>
        <w:gridCol w:w="5072"/>
        <w:gridCol w:w="2024"/>
        <w:gridCol w:w="1217"/>
        <w:gridCol w:w="1139"/>
        <w:gridCol w:w="1142"/>
      </w:tblGrid>
      <w:tr w:rsidR="003B38CB" w:rsidRPr="00102353" w14:paraId="78D1F638" w14:textId="77777777" w:rsidTr="0072760B">
        <w:trPr>
          <w:trHeight w:val="20"/>
          <w:jc w:val="center"/>
        </w:trPr>
        <w:tc>
          <w:tcPr>
            <w:tcW w:w="10594" w:type="dxa"/>
            <w:gridSpan w:val="5"/>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hideMark/>
          </w:tcPr>
          <w:p w14:paraId="5B918617" w14:textId="77777777" w:rsidR="003B38CB" w:rsidRPr="00102353" w:rsidRDefault="003B38CB" w:rsidP="00065DE9">
            <w:pPr>
              <w:spacing w:before="40" w:after="40" w:line="256" w:lineRule="auto"/>
              <w:jc w:val="center"/>
              <w:rPr>
                <w:rFonts w:ascii="Arial" w:eastAsia="Times New Roman" w:hAnsi="Arial" w:cs="Arial"/>
                <w:sz w:val="24"/>
                <w:szCs w:val="24"/>
                <w:lang w:val="en-US"/>
              </w:rPr>
            </w:pPr>
            <w:r>
              <w:rPr>
                <w:rFonts w:ascii="Calibri" w:eastAsia="Calibri" w:hAnsi="Calibri" w:cs="Times New Roman"/>
                <w:b/>
                <w:bCs/>
                <w:color w:val="FFFFFF"/>
                <w:kern w:val="24"/>
                <w:sz w:val="24"/>
                <w:szCs w:val="24"/>
              </w:rPr>
              <w:t xml:space="preserve">Tabelul 1: </w:t>
            </w:r>
            <w:r w:rsidRPr="00102353">
              <w:rPr>
                <w:rFonts w:ascii="Calibri" w:eastAsia="Calibri" w:hAnsi="Calibri" w:cs="Times New Roman"/>
                <w:b/>
                <w:bCs/>
                <w:color w:val="FFFFFF"/>
                <w:kern w:val="24"/>
                <w:sz w:val="24"/>
                <w:szCs w:val="24"/>
              </w:rPr>
              <w:t xml:space="preserve">Impactul bugetar al prevederilor legii pensiilor asupra cheltuielilor de asistență socială ale bugetului de stat și bugetului asigurărilor sociale de stat (mld. lei, standarde </w:t>
            </w:r>
            <w:r w:rsidRPr="00386049">
              <w:rPr>
                <w:rFonts w:ascii="Calibri" w:eastAsia="Calibri" w:hAnsi="Calibri" w:cs="Times New Roman"/>
                <w:b/>
                <w:bCs/>
                <w:i/>
                <w:iCs/>
                <w:color w:val="FFFFFF"/>
                <w:kern w:val="24"/>
                <w:sz w:val="24"/>
                <w:szCs w:val="24"/>
              </w:rPr>
              <w:t>cash</w:t>
            </w:r>
            <w:r w:rsidRPr="00102353">
              <w:rPr>
                <w:rFonts w:ascii="Calibri" w:eastAsia="Calibri" w:hAnsi="Calibri" w:cs="Times New Roman"/>
                <w:b/>
                <w:bCs/>
                <w:color w:val="FFFFFF"/>
                <w:kern w:val="24"/>
                <w:sz w:val="24"/>
                <w:szCs w:val="24"/>
              </w:rPr>
              <w:t>)</w:t>
            </w:r>
          </w:p>
        </w:tc>
      </w:tr>
      <w:tr w:rsidR="003B38CB" w:rsidRPr="00102353" w14:paraId="72EC264F" w14:textId="77777777" w:rsidTr="0072760B">
        <w:trPr>
          <w:trHeight w:val="20"/>
          <w:jc w:val="center"/>
        </w:trPr>
        <w:tc>
          <w:tcPr>
            <w:tcW w:w="5072"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hideMark/>
          </w:tcPr>
          <w:p w14:paraId="29DFC8B1" w14:textId="77777777" w:rsidR="003B38CB" w:rsidRPr="00102353" w:rsidRDefault="003B38CB" w:rsidP="00065DE9">
            <w:pPr>
              <w:spacing w:before="40" w:after="40" w:line="256" w:lineRule="auto"/>
              <w:rPr>
                <w:rFonts w:ascii="Arial" w:eastAsia="Times New Roman" w:hAnsi="Arial" w:cs="Arial"/>
                <w:sz w:val="24"/>
                <w:szCs w:val="24"/>
                <w:lang w:val="en-US"/>
              </w:rPr>
            </w:pPr>
            <w:r w:rsidRPr="00102353">
              <w:rPr>
                <w:rFonts w:ascii="Calibri" w:eastAsia="Times New Roman" w:hAnsi="Calibri" w:cs="Calibri"/>
                <w:color w:val="000000"/>
                <w:kern w:val="24"/>
                <w:sz w:val="24"/>
                <w:szCs w:val="24"/>
              </w:rPr>
              <w:t> </w:t>
            </w:r>
          </w:p>
        </w:tc>
        <w:tc>
          <w:tcPr>
            <w:tcW w:w="2024" w:type="dxa"/>
            <w:tcBorders>
              <w:top w:val="single" w:sz="8" w:space="0" w:color="000000"/>
              <w:left w:val="single" w:sz="8" w:space="0" w:color="000000"/>
              <w:bottom w:val="single" w:sz="8" w:space="0" w:color="000000"/>
              <w:right w:val="single" w:sz="8" w:space="0" w:color="000000"/>
            </w:tcBorders>
            <w:shd w:val="clear" w:color="auto" w:fill="0070C0"/>
            <w:tcMar>
              <w:top w:w="15" w:type="dxa"/>
              <w:left w:w="108" w:type="dxa"/>
              <w:bottom w:w="0" w:type="dxa"/>
              <w:right w:w="108" w:type="dxa"/>
            </w:tcMar>
            <w:vAlign w:val="center"/>
            <w:hideMark/>
          </w:tcPr>
          <w:p w14:paraId="0922FC01" w14:textId="77777777" w:rsidR="003B38CB" w:rsidRPr="00102353" w:rsidRDefault="003B38CB" w:rsidP="00065DE9">
            <w:pPr>
              <w:spacing w:before="40" w:after="40" w:line="256" w:lineRule="auto"/>
              <w:rPr>
                <w:rFonts w:ascii="Arial" w:eastAsia="Times New Roman" w:hAnsi="Arial" w:cs="Arial"/>
                <w:sz w:val="24"/>
                <w:szCs w:val="24"/>
                <w:lang w:val="en-US"/>
              </w:rPr>
            </w:pPr>
            <w:r w:rsidRPr="00102353">
              <w:rPr>
                <w:rFonts w:ascii="Calibri" w:eastAsia="Times New Roman" w:hAnsi="Calibri" w:cs="Calibri"/>
                <w:color w:val="000000"/>
                <w:kern w:val="24"/>
                <w:sz w:val="24"/>
                <w:szCs w:val="24"/>
              </w:rPr>
              <w:t> </w:t>
            </w:r>
          </w:p>
        </w:tc>
        <w:tc>
          <w:tcPr>
            <w:tcW w:w="1217" w:type="dxa"/>
            <w:tcBorders>
              <w:top w:val="single" w:sz="8" w:space="0" w:color="000000"/>
              <w:left w:val="single" w:sz="8" w:space="0" w:color="000000"/>
              <w:bottom w:val="single" w:sz="8" w:space="0" w:color="000000"/>
              <w:right w:val="nil"/>
            </w:tcBorders>
            <w:shd w:val="clear" w:color="auto" w:fill="0070C0"/>
            <w:tcMar>
              <w:top w:w="15" w:type="dxa"/>
              <w:left w:w="108" w:type="dxa"/>
              <w:bottom w:w="0" w:type="dxa"/>
              <w:right w:w="108" w:type="dxa"/>
            </w:tcMar>
            <w:vAlign w:val="center"/>
            <w:hideMark/>
          </w:tcPr>
          <w:p w14:paraId="1E2A73B4" w14:textId="77777777" w:rsidR="003B38CB" w:rsidRPr="00102353" w:rsidRDefault="003B38CB" w:rsidP="00065DE9">
            <w:pPr>
              <w:spacing w:before="40" w:after="40" w:line="256" w:lineRule="auto"/>
              <w:jc w:val="right"/>
              <w:rPr>
                <w:rFonts w:ascii="Arial" w:eastAsia="Times New Roman" w:hAnsi="Arial" w:cs="Arial"/>
                <w:sz w:val="24"/>
                <w:szCs w:val="24"/>
                <w:lang w:val="en-US"/>
              </w:rPr>
            </w:pPr>
            <w:r w:rsidRPr="00102353">
              <w:rPr>
                <w:rFonts w:ascii="Calibri" w:eastAsia="Times New Roman" w:hAnsi="Calibri" w:cs="Calibri"/>
                <w:b/>
                <w:bCs/>
                <w:color w:val="FFFFFF"/>
                <w:kern w:val="24"/>
                <w:sz w:val="24"/>
                <w:szCs w:val="24"/>
              </w:rPr>
              <w:t>2020</w:t>
            </w:r>
          </w:p>
        </w:tc>
        <w:tc>
          <w:tcPr>
            <w:tcW w:w="1139" w:type="dxa"/>
            <w:tcBorders>
              <w:top w:val="single" w:sz="8" w:space="0" w:color="000000"/>
              <w:left w:val="nil"/>
              <w:bottom w:val="single" w:sz="8" w:space="0" w:color="000000"/>
              <w:right w:val="nil"/>
            </w:tcBorders>
            <w:shd w:val="clear" w:color="auto" w:fill="0070C0"/>
            <w:tcMar>
              <w:top w:w="15" w:type="dxa"/>
              <w:left w:w="108" w:type="dxa"/>
              <w:bottom w:w="0" w:type="dxa"/>
              <w:right w:w="108" w:type="dxa"/>
            </w:tcMar>
            <w:vAlign w:val="center"/>
            <w:hideMark/>
          </w:tcPr>
          <w:p w14:paraId="5DA582DA" w14:textId="77777777" w:rsidR="003B38CB" w:rsidRPr="00102353" w:rsidRDefault="003B38CB" w:rsidP="00065DE9">
            <w:pPr>
              <w:spacing w:before="40" w:after="40" w:line="256" w:lineRule="auto"/>
              <w:jc w:val="right"/>
              <w:rPr>
                <w:rFonts w:ascii="Arial" w:eastAsia="Times New Roman" w:hAnsi="Arial" w:cs="Arial"/>
                <w:sz w:val="24"/>
                <w:szCs w:val="24"/>
                <w:lang w:val="en-US"/>
              </w:rPr>
            </w:pPr>
            <w:r w:rsidRPr="00102353">
              <w:rPr>
                <w:rFonts w:ascii="Calibri" w:eastAsia="Times New Roman" w:hAnsi="Calibri" w:cs="Calibri"/>
                <w:b/>
                <w:bCs/>
                <w:color w:val="FFFFFF"/>
                <w:kern w:val="24"/>
                <w:sz w:val="24"/>
                <w:szCs w:val="24"/>
              </w:rPr>
              <w:t>2021</w:t>
            </w:r>
          </w:p>
        </w:tc>
        <w:tc>
          <w:tcPr>
            <w:tcW w:w="1142" w:type="dxa"/>
            <w:tcBorders>
              <w:top w:val="single" w:sz="8" w:space="0" w:color="000000"/>
              <w:left w:val="nil"/>
              <w:bottom w:val="single" w:sz="8" w:space="0" w:color="000000"/>
              <w:right w:val="single" w:sz="8" w:space="0" w:color="000000"/>
            </w:tcBorders>
            <w:shd w:val="clear" w:color="auto" w:fill="0070C0"/>
            <w:tcMar>
              <w:top w:w="15" w:type="dxa"/>
              <w:left w:w="108" w:type="dxa"/>
              <w:bottom w:w="0" w:type="dxa"/>
              <w:right w:w="108" w:type="dxa"/>
            </w:tcMar>
            <w:vAlign w:val="center"/>
            <w:hideMark/>
          </w:tcPr>
          <w:p w14:paraId="3199C375" w14:textId="77777777" w:rsidR="003B38CB" w:rsidRPr="00102353" w:rsidRDefault="003B38CB" w:rsidP="00065DE9">
            <w:pPr>
              <w:spacing w:before="40" w:after="40" w:line="256" w:lineRule="auto"/>
              <w:jc w:val="right"/>
              <w:rPr>
                <w:rFonts w:ascii="Arial" w:eastAsia="Times New Roman" w:hAnsi="Arial" w:cs="Arial"/>
                <w:sz w:val="24"/>
                <w:szCs w:val="24"/>
                <w:lang w:val="en-US"/>
              </w:rPr>
            </w:pPr>
            <w:r w:rsidRPr="00102353">
              <w:rPr>
                <w:rFonts w:ascii="Calibri" w:eastAsia="Times New Roman" w:hAnsi="Calibri" w:cs="Calibri"/>
                <w:b/>
                <w:bCs/>
                <w:color w:val="FFFFFF"/>
                <w:kern w:val="24"/>
                <w:sz w:val="24"/>
                <w:szCs w:val="24"/>
              </w:rPr>
              <w:t>2022</w:t>
            </w:r>
          </w:p>
        </w:tc>
      </w:tr>
      <w:tr w:rsidR="003B38CB" w:rsidRPr="00102353" w14:paraId="1F9D7A9D" w14:textId="77777777" w:rsidTr="0072760B">
        <w:trPr>
          <w:trHeight w:val="20"/>
          <w:jc w:val="center"/>
        </w:trPr>
        <w:tc>
          <w:tcPr>
            <w:tcW w:w="50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86977D" w14:textId="77777777" w:rsidR="003B38CB" w:rsidRPr="002924A1" w:rsidRDefault="003B38CB" w:rsidP="00065DE9">
            <w:pPr>
              <w:spacing w:before="40" w:after="40" w:line="256" w:lineRule="auto"/>
              <w:jc w:val="center"/>
              <w:rPr>
                <w:rFonts w:ascii="Arial" w:eastAsia="Times New Roman" w:hAnsi="Arial" w:cs="Arial"/>
                <w:lang w:val="en-US"/>
              </w:rPr>
            </w:pPr>
            <w:r w:rsidRPr="002924A1">
              <w:rPr>
                <w:rFonts w:ascii="Calibri" w:eastAsia="Times New Roman" w:hAnsi="Calibri" w:cs="Calibri"/>
                <w:color w:val="000000"/>
                <w:kern w:val="24"/>
              </w:rPr>
              <w:t xml:space="preserve">Impactul majorării indemnizației sociale și al </w:t>
            </w:r>
            <w:r w:rsidRPr="002924A1">
              <w:rPr>
                <w:rFonts w:ascii="Calibri" w:eastAsia="Times New Roman" w:hAnsi="Calibri" w:cs="Calibri"/>
                <w:color w:val="000000"/>
                <w:kern w:val="24"/>
              </w:rPr>
              <w:lastRenderedPageBreak/>
              <w:t>drepturilor nou instituite asupra cheltuielilor BS cu asistența socială</w:t>
            </w:r>
          </w:p>
        </w:tc>
        <w:tc>
          <w:tcPr>
            <w:tcW w:w="2024"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vAlign w:val="center"/>
            <w:hideMark/>
          </w:tcPr>
          <w:p w14:paraId="0E6E7ABE"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color w:val="000000"/>
                <w:kern w:val="24"/>
              </w:rPr>
              <w:lastRenderedPageBreak/>
              <w:t xml:space="preserve">Diferența față de </w:t>
            </w:r>
            <w:r w:rsidRPr="002924A1">
              <w:rPr>
                <w:rFonts w:ascii="Calibri" w:eastAsia="Times New Roman" w:hAnsi="Calibri" w:cs="Calibri"/>
                <w:color w:val="000000"/>
                <w:kern w:val="24"/>
              </w:rPr>
              <w:lastRenderedPageBreak/>
              <w:t>2019</w:t>
            </w:r>
          </w:p>
        </w:tc>
        <w:tc>
          <w:tcPr>
            <w:tcW w:w="1217" w:type="dxa"/>
            <w:tcBorders>
              <w:top w:val="single" w:sz="8" w:space="0" w:color="000000"/>
              <w:left w:val="single" w:sz="8" w:space="0" w:color="000000"/>
              <w:bottom w:val="dotted" w:sz="8" w:space="0" w:color="000000"/>
              <w:right w:val="nil"/>
            </w:tcBorders>
            <w:shd w:val="clear" w:color="auto" w:fill="auto"/>
            <w:tcMar>
              <w:top w:w="15" w:type="dxa"/>
              <w:left w:w="108" w:type="dxa"/>
              <w:bottom w:w="0" w:type="dxa"/>
              <w:right w:w="108" w:type="dxa"/>
            </w:tcMar>
            <w:vAlign w:val="center"/>
            <w:hideMark/>
          </w:tcPr>
          <w:p w14:paraId="3F6786D1"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lastRenderedPageBreak/>
              <w:t>0,35</w:t>
            </w:r>
          </w:p>
        </w:tc>
        <w:tc>
          <w:tcPr>
            <w:tcW w:w="1139" w:type="dxa"/>
            <w:tcBorders>
              <w:top w:val="single" w:sz="8" w:space="0" w:color="000000"/>
              <w:left w:val="nil"/>
              <w:bottom w:val="dotted" w:sz="8" w:space="0" w:color="000000"/>
              <w:right w:val="nil"/>
            </w:tcBorders>
            <w:shd w:val="clear" w:color="auto" w:fill="auto"/>
            <w:tcMar>
              <w:top w:w="15" w:type="dxa"/>
              <w:left w:w="108" w:type="dxa"/>
              <w:bottom w:w="0" w:type="dxa"/>
              <w:right w:w="108" w:type="dxa"/>
            </w:tcMar>
            <w:vAlign w:val="center"/>
            <w:hideMark/>
          </w:tcPr>
          <w:p w14:paraId="01ABD7D2"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5,37</w:t>
            </w:r>
          </w:p>
        </w:tc>
        <w:tc>
          <w:tcPr>
            <w:tcW w:w="1142" w:type="dxa"/>
            <w:tcBorders>
              <w:top w:val="single" w:sz="8" w:space="0" w:color="000000"/>
              <w:left w:val="nil"/>
              <w:bottom w:val="dotted" w:sz="8" w:space="0" w:color="000000"/>
              <w:right w:val="single" w:sz="8" w:space="0" w:color="000000"/>
            </w:tcBorders>
            <w:shd w:val="clear" w:color="auto" w:fill="auto"/>
            <w:tcMar>
              <w:top w:w="15" w:type="dxa"/>
              <w:left w:w="108" w:type="dxa"/>
              <w:bottom w:w="0" w:type="dxa"/>
              <w:right w:w="108" w:type="dxa"/>
            </w:tcMar>
            <w:vAlign w:val="center"/>
            <w:hideMark/>
          </w:tcPr>
          <w:p w14:paraId="3883493D"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12,30</w:t>
            </w:r>
          </w:p>
        </w:tc>
      </w:tr>
      <w:tr w:rsidR="003B38CB" w:rsidRPr="00102353" w14:paraId="3379681E" w14:textId="77777777" w:rsidTr="0072760B">
        <w:trPr>
          <w:trHeight w:val="20"/>
          <w:jc w:val="center"/>
        </w:trPr>
        <w:tc>
          <w:tcPr>
            <w:tcW w:w="5072" w:type="dxa"/>
            <w:vMerge/>
            <w:tcBorders>
              <w:top w:val="single" w:sz="8" w:space="0" w:color="000000"/>
              <w:left w:val="single" w:sz="8" w:space="0" w:color="000000"/>
              <w:bottom w:val="single" w:sz="8" w:space="0" w:color="000000"/>
              <w:right w:val="single" w:sz="8" w:space="0" w:color="000000"/>
            </w:tcBorders>
            <w:vAlign w:val="center"/>
            <w:hideMark/>
          </w:tcPr>
          <w:p w14:paraId="77758E28" w14:textId="77777777" w:rsidR="003B38CB" w:rsidRPr="002924A1" w:rsidRDefault="003B38CB" w:rsidP="00065DE9">
            <w:pPr>
              <w:spacing w:after="0" w:line="240" w:lineRule="auto"/>
              <w:rPr>
                <w:rFonts w:ascii="Arial" w:eastAsia="Times New Roman" w:hAnsi="Arial" w:cs="Arial"/>
                <w:lang w:val="en-US"/>
              </w:rPr>
            </w:pPr>
          </w:p>
        </w:tc>
        <w:tc>
          <w:tcPr>
            <w:tcW w:w="2024"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DB8C6A"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color w:val="000000"/>
                <w:kern w:val="24"/>
              </w:rPr>
              <w:t>Diferența față de anul anterior</w:t>
            </w:r>
          </w:p>
        </w:tc>
        <w:tc>
          <w:tcPr>
            <w:tcW w:w="1217" w:type="dxa"/>
            <w:tcBorders>
              <w:top w:val="dotted"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48A6B053"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0,35</w:t>
            </w:r>
          </w:p>
        </w:tc>
        <w:tc>
          <w:tcPr>
            <w:tcW w:w="1139" w:type="dxa"/>
            <w:tcBorders>
              <w:top w:val="dotted"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DC736B2"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5,02</w:t>
            </w:r>
          </w:p>
        </w:tc>
        <w:tc>
          <w:tcPr>
            <w:tcW w:w="1142" w:type="dxa"/>
            <w:tcBorders>
              <w:top w:val="dotted"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A1CA3"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6,93</w:t>
            </w:r>
          </w:p>
        </w:tc>
      </w:tr>
      <w:tr w:rsidR="003B38CB" w:rsidRPr="00102353" w14:paraId="1C9B0E11" w14:textId="77777777" w:rsidTr="0072760B">
        <w:trPr>
          <w:trHeight w:val="20"/>
          <w:jc w:val="center"/>
        </w:trPr>
        <w:tc>
          <w:tcPr>
            <w:tcW w:w="50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9C04A3" w14:textId="77777777" w:rsidR="003B38CB" w:rsidRPr="002924A1" w:rsidRDefault="003B38CB" w:rsidP="00065DE9">
            <w:pPr>
              <w:spacing w:before="40" w:after="40" w:line="256" w:lineRule="auto"/>
              <w:jc w:val="center"/>
              <w:rPr>
                <w:rFonts w:ascii="Arial" w:eastAsia="Times New Roman" w:hAnsi="Arial" w:cs="Arial"/>
                <w:lang w:val="en-US"/>
              </w:rPr>
            </w:pPr>
            <w:r w:rsidRPr="002924A1">
              <w:rPr>
                <w:rFonts w:ascii="Calibri" w:eastAsia="Times New Roman" w:hAnsi="Calibri" w:cs="Calibri"/>
                <w:color w:val="000000"/>
                <w:kern w:val="24"/>
              </w:rPr>
              <w:t>Impactul majorării punctului de pensie asupra cheltuielilor BASS cu asistența socială</w:t>
            </w:r>
          </w:p>
        </w:tc>
        <w:tc>
          <w:tcPr>
            <w:tcW w:w="2024"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vAlign w:val="center"/>
            <w:hideMark/>
          </w:tcPr>
          <w:p w14:paraId="236AD4D5"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color w:val="000000"/>
                <w:kern w:val="24"/>
              </w:rPr>
              <w:t>Diferența față de 2019</w:t>
            </w:r>
          </w:p>
        </w:tc>
        <w:tc>
          <w:tcPr>
            <w:tcW w:w="1217" w:type="dxa"/>
            <w:tcBorders>
              <w:top w:val="single" w:sz="8" w:space="0" w:color="000000"/>
              <w:left w:val="single" w:sz="8" w:space="0" w:color="000000"/>
              <w:bottom w:val="dotted" w:sz="8" w:space="0" w:color="000000"/>
              <w:right w:val="nil"/>
            </w:tcBorders>
            <w:shd w:val="clear" w:color="auto" w:fill="auto"/>
            <w:tcMar>
              <w:top w:w="15" w:type="dxa"/>
              <w:left w:w="108" w:type="dxa"/>
              <w:bottom w:w="0" w:type="dxa"/>
              <w:right w:w="108" w:type="dxa"/>
            </w:tcMar>
            <w:vAlign w:val="center"/>
            <w:hideMark/>
          </w:tcPr>
          <w:p w14:paraId="5473AD45"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16,88</w:t>
            </w:r>
          </w:p>
        </w:tc>
        <w:tc>
          <w:tcPr>
            <w:tcW w:w="1139" w:type="dxa"/>
            <w:tcBorders>
              <w:top w:val="single" w:sz="8" w:space="0" w:color="000000"/>
              <w:left w:val="nil"/>
              <w:bottom w:val="dotted" w:sz="8" w:space="0" w:color="000000"/>
              <w:right w:val="nil"/>
            </w:tcBorders>
            <w:shd w:val="clear" w:color="auto" w:fill="auto"/>
            <w:tcMar>
              <w:top w:w="15" w:type="dxa"/>
              <w:left w:w="108" w:type="dxa"/>
              <w:bottom w:w="0" w:type="dxa"/>
              <w:right w:w="108" w:type="dxa"/>
            </w:tcMar>
            <w:vAlign w:val="center"/>
            <w:hideMark/>
          </w:tcPr>
          <w:p w14:paraId="74CB0B40"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39,39</w:t>
            </w:r>
          </w:p>
        </w:tc>
        <w:tc>
          <w:tcPr>
            <w:tcW w:w="1142" w:type="dxa"/>
            <w:tcBorders>
              <w:top w:val="single" w:sz="8" w:space="0" w:color="000000"/>
              <w:left w:val="nil"/>
              <w:bottom w:val="dotted" w:sz="8" w:space="0" w:color="000000"/>
              <w:right w:val="single" w:sz="8" w:space="0" w:color="000000"/>
            </w:tcBorders>
            <w:shd w:val="clear" w:color="auto" w:fill="auto"/>
            <w:tcMar>
              <w:top w:w="15" w:type="dxa"/>
              <w:left w:w="108" w:type="dxa"/>
              <w:bottom w:w="0" w:type="dxa"/>
              <w:right w:w="108" w:type="dxa"/>
            </w:tcMar>
            <w:vAlign w:val="center"/>
            <w:hideMark/>
          </w:tcPr>
          <w:p w14:paraId="2C7B98A0"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43,78</w:t>
            </w:r>
          </w:p>
        </w:tc>
      </w:tr>
      <w:tr w:rsidR="003B38CB" w:rsidRPr="00102353" w14:paraId="7247E7B0" w14:textId="77777777" w:rsidTr="0072760B">
        <w:trPr>
          <w:trHeight w:val="20"/>
          <w:jc w:val="center"/>
        </w:trPr>
        <w:tc>
          <w:tcPr>
            <w:tcW w:w="5072" w:type="dxa"/>
            <w:vMerge/>
            <w:tcBorders>
              <w:top w:val="single" w:sz="8" w:space="0" w:color="000000"/>
              <w:left w:val="single" w:sz="8" w:space="0" w:color="000000"/>
              <w:bottom w:val="single" w:sz="8" w:space="0" w:color="000000"/>
              <w:right w:val="single" w:sz="8" w:space="0" w:color="000000"/>
            </w:tcBorders>
            <w:vAlign w:val="center"/>
            <w:hideMark/>
          </w:tcPr>
          <w:p w14:paraId="037750C9" w14:textId="77777777" w:rsidR="003B38CB" w:rsidRPr="002924A1" w:rsidRDefault="003B38CB" w:rsidP="00065DE9">
            <w:pPr>
              <w:spacing w:after="0" w:line="240" w:lineRule="auto"/>
              <w:rPr>
                <w:rFonts w:ascii="Arial" w:eastAsia="Times New Roman" w:hAnsi="Arial" w:cs="Arial"/>
                <w:lang w:val="en-US"/>
              </w:rPr>
            </w:pPr>
          </w:p>
        </w:tc>
        <w:tc>
          <w:tcPr>
            <w:tcW w:w="2024"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62E1C0"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color w:val="000000"/>
                <w:kern w:val="24"/>
              </w:rPr>
              <w:t>Diferența față de anul anterior</w:t>
            </w:r>
          </w:p>
        </w:tc>
        <w:tc>
          <w:tcPr>
            <w:tcW w:w="1217" w:type="dxa"/>
            <w:tcBorders>
              <w:top w:val="dotted"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537B351A"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16,88</w:t>
            </w:r>
          </w:p>
        </w:tc>
        <w:tc>
          <w:tcPr>
            <w:tcW w:w="1139" w:type="dxa"/>
            <w:tcBorders>
              <w:top w:val="dotted"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8B102AF"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22,51</w:t>
            </w:r>
          </w:p>
        </w:tc>
        <w:tc>
          <w:tcPr>
            <w:tcW w:w="1142" w:type="dxa"/>
            <w:tcBorders>
              <w:top w:val="dotted"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C0BE0D"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4,39</w:t>
            </w:r>
          </w:p>
        </w:tc>
      </w:tr>
      <w:tr w:rsidR="003B38CB" w:rsidRPr="00102353" w14:paraId="389E5E24" w14:textId="77777777" w:rsidTr="0072760B">
        <w:trPr>
          <w:trHeight w:val="20"/>
          <w:jc w:val="center"/>
        </w:trPr>
        <w:tc>
          <w:tcPr>
            <w:tcW w:w="507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904B97" w14:textId="77777777" w:rsidR="003B38CB" w:rsidRPr="002924A1" w:rsidRDefault="003B38CB" w:rsidP="00065DE9">
            <w:pPr>
              <w:spacing w:before="40" w:after="40" w:line="256" w:lineRule="auto"/>
              <w:jc w:val="center"/>
              <w:rPr>
                <w:rFonts w:ascii="Arial" w:eastAsia="Times New Roman" w:hAnsi="Arial" w:cs="Arial"/>
                <w:lang w:val="en-US"/>
              </w:rPr>
            </w:pPr>
            <w:r w:rsidRPr="002924A1">
              <w:rPr>
                <w:rFonts w:ascii="Calibri" w:eastAsia="Times New Roman" w:hAnsi="Calibri" w:cs="Calibri"/>
                <w:color w:val="000000"/>
                <w:kern w:val="24"/>
              </w:rPr>
              <w:t>Impactul modificării formulei de calcul a pensiei asupra cheltuielilor BASS cu asistența socială</w:t>
            </w:r>
          </w:p>
        </w:tc>
        <w:tc>
          <w:tcPr>
            <w:tcW w:w="2024" w:type="dxa"/>
            <w:tcBorders>
              <w:top w:val="single" w:sz="8" w:space="0" w:color="000000"/>
              <w:left w:val="single" w:sz="8" w:space="0" w:color="000000"/>
              <w:bottom w:val="dotted" w:sz="8" w:space="0" w:color="000000"/>
              <w:right w:val="single" w:sz="8" w:space="0" w:color="000000"/>
            </w:tcBorders>
            <w:shd w:val="clear" w:color="auto" w:fill="auto"/>
            <w:tcMar>
              <w:top w:w="15" w:type="dxa"/>
              <w:left w:w="108" w:type="dxa"/>
              <w:bottom w:w="0" w:type="dxa"/>
              <w:right w:w="108" w:type="dxa"/>
            </w:tcMar>
            <w:vAlign w:val="center"/>
            <w:hideMark/>
          </w:tcPr>
          <w:p w14:paraId="79B0B50C"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color w:val="000000"/>
                <w:kern w:val="24"/>
              </w:rPr>
              <w:t>Diferența față de 2019</w:t>
            </w:r>
          </w:p>
        </w:tc>
        <w:tc>
          <w:tcPr>
            <w:tcW w:w="1217" w:type="dxa"/>
            <w:tcBorders>
              <w:top w:val="single" w:sz="8" w:space="0" w:color="000000"/>
              <w:left w:val="single" w:sz="8" w:space="0" w:color="000000"/>
              <w:bottom w:val="dotted" w:sz="8" w:space="0" w:color="000000"/>
              <w:right w:val="nil"/>
            </w:tcBorders>
            <w:shd w:val="clear" w:color="auto" w:fill="auto"/>
            <w:tcMar>
              <w:top w:w="15" w:type="dxa"/>
              <w:left w:w="108" w:type="dxa"/>
              <w:bottom w:w="0" w:type="dxa"/>
              <w:right w:w="108" w:type="dxa"/>
            </w:tcMar>
            <w:vAlign w:val="center"/>
            <w:hideMark/>
          </w:tcPr>
          <w:p w14:paraId="0B1E7B5C"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w:t>
            </w:r>
          </w:p>
        </w:tc>
        <w:tc>
          <w:tcPr>
            <w:tcW w:w="1139" w:type="dxa"/>
            <w:tcBorders>
              <w:top w:val="single" w:sz="8" w:space="0" w:color="000000"/>
              <w:left w:val="nil"/>
              <w:bottom w:val="dotted" w:sz="8" w:space="0" w:color="000000"/>
              <w:right w:val="nil"/>
            </w:tcBorders>
            <w:shd w:val="clear" w:color="auto" w:fill="auto"/>
            <w:tcMar>
              <w:top w:w="15" w:type="dxa"/>
              <w:left w:w="108" w:type="dxa"/>
              <w:bottom w:w="0" w:type="dxa"/>
              <w:right w:w="108" w:type="dxa"/>
            </w:tcMar>
            <w:vAlign w:val="center"/>
            <w:hideMark/>
          </w:tcPr>
          <w:p w14:paraId="2B6F1E69"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5,29</w:t>
            </w:r>
          </w:p>
        </w:tc>
        <w:tc>
          <w:tcPr>
            <w:tcW w:w="1142" w:type="dxa"/>
            <w:tcBorders>
              <w:top w:val="single" w:sz="8" w:space="0" w:color="000000"/>
              <w:left w:val="nil"/>
              <w:bottom w:val="dotted" w:sz="8" w:space="0" w:color="000000"/>
              <w:right w:val="single" w:sz="8" w:space="0" w:color="000000"/>
            </w:tcBorders>
            <w:shd w:val="clear" w:color="auto" w:fill="auto"/>
            <w:tcMar>
              <w:top w:w="15" w:type="dxa"/>
              <w:left w:w="108" w:type="dxa"/>
              <w:bottom w:w="0" w:type="dxa"/>
              <w:right w:w="108" w:type="dxa"/>
            </w:tcMar>
            <w:vAlign w:val="center"/>
            <w:hideMark/>
          </w:tcPr>
          <w:p w14:paraId="60EE7F81"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17,22</w:t>
            </w:r>
          </w:p>
        </w:tc>
      </w:tr>
      <w:tr w:rsidR="003B38CB" w:rsidRPr="00102353" w14:paraId="07A3DC78" w14:textId="77777777" w:rsidTr="0072760B">
        <w:trPr>
          <w:trHeight w:val="20"/>
          <w:jc w:val="center"/>
        </w:trPr>
        <w:tc>
          <w:tcPr>
            <w:tcW w:w="5072" w:type="dxa"/>
            <w:vMerge/>
            <w:tcBorders>
              <w:top w:val="single" w:sz="8" w:space="0" w:color="000000"/>
              <w:left w:val="single" w:sz="8" w:space="0" w:color="000000"/>
              <w:bottom w:val="single" w:sz="8" w:space="0" w:color="000000"/>
              <w:right w:val="single" w:sz="8" w:space="0" w:color="000000"/>
            </w:tcBorders>
            <w:vAlign w:val="center"/>
            <w:hideMark/>
          </w:tcPr>
          <w:p w14:paraId="2E8E6299" w14:textId="77777777" w:rsidR="003B38CB" w:rsidRPr="002924A1" w:rsidRDefault="003B38CB" w:rsidP="00065DE9">
            <w:pPr>
              <w:spacing w:after="0" w:line="240" w:lineRule="auto"/>
              <w:rPr>
                <w:rFonts w:ascii="Arial" w:eastAsia="Times New Roman" w:hAnsi="Arial" w:cs="Arial"/>
                <w:lang w:val="en-US"/>
              </w:rPr>
            </w:pPr>
          </w:p>
        </w:tc>
        <w:tc>
          <w:tcPr>
            <w:tcW w:w="2024" w:type="dxa"/>
            <w:tcBorders>
              <w:top w:val="dotted"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9410E"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color w:val="000000"/>
                <w:kern w:val="24"/>
              </w:rPr>
              <w:t>Diferența față de anul anterior</w:t>
            </w:r>
          </w:p>
        </w:tc>
        <w:tc>
          <w:tcPr>
            <w:tcW w:w="1217" w:type="dxa"/>
            <w:tcBorders>
              <w:top w:val="dotted" w:sz="8" w:space="0" w:color="000000"/>
              <w:left w:val="single" w:sz="8" w:space="0" w:color="000000"/>
              <w:bottom w:val="single" w:sz="8" w:space="0" w:color="000000"/>
              <w:right w:val="nil"/>
            </w:tcBorders>
            <w:shd w:val="clear" w:color="auto" w:fill="auto"/>
            <w:tcMar>
              <w:top w:w="15" w:type="dxa"/>
              <w:left w:w="108" w:type="dxa"/>
              <w:bottom w:w="0" w:type="dxa"/>
              <w:right w:w="108" w:type="dxa"/>
            </w:tcMar>
            <w:vAlign w:val="center"/>
            <w:hideMark/>
          </w:tcPr>
          <w:p w14:paraId="0BF175C7"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w:t>
            </w:r>
          </w:p>
        </w:tc>
        <w:tc>
          <w:tcPr>
            <w:tcW w:w="1139" w:type="dxa"/>
            <w:tcBorders>
              <w:top w:val="dotted"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94015E7"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5,29</w:t>
            </w:r>
          </w:p>
        </w:tc>
        <w:tc>
          <w:tcPr>
            <w:tcW w:w="1142" w:type="dxa"/>
            <w:tcBorders>
              <w:top w:val="dotted" w:sz="8" w:space="0" w:color="000000"/>
              <w:left w:val="nil"/>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952B1D"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color w:val="000000"/>
                <w:kern w:val="24"/>
                <w:lang w:val="en-US"/>
              </w:rPr>
              <w:t>11,93</w:t>
            </w:r>
          </w:p>
        </w:tc>
      </w:tr>
      <w:tr w:rsidR="003B38CB" w:rsidRPr="00102353" w14:paraId="73D2716C" w14:textId="77777777" w:rsidTr="0072760B">
        <w:trPr>
          <w:trHeight w:val="20"/>
          <w:jc w:val="center"/>
        </w:trPr>
        <w:tc>
          <w:tcPr>
            <w:tcW w:w="5072" w:type="dxa"/>
            <w:vMerge w:val="restart"/>
            <w:tcBorders>
              <w:top w:val="single" w:sz="8" w:space="0" w:color="000000"/>
              <w:left w:val="single" w:sz="8" w:space="0" w:color="000000"/>
              <w:bottom w:val="single" w:sz="8" w:space="0" w:color="000000"/>
              <w:right w:val="single" w:sz="8" w:space="0" w:color="000000"/>
            </w:tcBorders>
            <w:shd w:val="clear" w:color="auto" w:fill="B4C6E7"/>
            <w:tcMar>
              <w:top w:w="15" w:type="dxa"/>
              <w:left w:w="108" w:type="dxa"/>
              <w:bottom w:w="0" w:type="dxa"/>
              <w:right w:w="108" w:type="dxa"/>
            </w:tcMar>
            <w:vAlign w:val="center"/>
            <w:hideMark/>
          </w:tcPr>
          <w:p w14:paraId="344D8E68" w14:textId="77777777" w:rsidR="003B38CB" w:rsidRPr="002924A1" w:rsidRDefault="003B38CB" w:rsidP="00065DE9">
            <w:pPr>
              <w:spacing w:before="40" w:after="40" w:line="256" w:lineRule="auto"/>
              <w:jc w:val="center"/>
              <w:rPr>
                <w:rFonts w:ascii="Arial" w:eastAsia="Times New Roman" w:hAnsi="Arial" w:cs="Arial"/>
                <w:lang w:val="en-US"/>
              </w:rPr>
            </w:pPr>
            <w:r w:rsidRPr="002924A1">
              <w:rPr>
                <w:rFonts w:ascii="Calibri" w:eastAsia="Times New Roman" w:hAnsi="Calibri" w:cs="Calibri"/>
                <w:b/>
                <w:bCs/>
                <w:color w:val="000000"/>
                <w:kern w:val="24"/>
              </w:rPr>
              <w:t>Impact total</w:t>
            </w:r>
          </w:p>
        </w:tc>
        <w:tc>
          <w:tcPr>
            <w:tcW w:w="2024" w:type="dxa"/>
            <w:tcBorders>
              <w:top w:val="single" w:sz="8" w:space="0" w:color="000000"/>
              <w:left w:val="single" w:sz="8" w:space="0" w:color="000000"/>
              <w:bottom w:val="dotted" w:sz="8" w:space="0" w:color="000000"/>
              <w:right w:val="single" w:sz="8" w:space="0" w:color="000000"/>
            </w:tcBorders>
            <w:shd w:val="clear" w:color="auto" w:fill="B4C6E7"/>
            <w:tcMar>
              <w:top w:w="15" w:type="dxa"/>
              <w:left w:w="108" w:type="dxa"/>
              <w:bottom w:w="0" w:type="dxa"/>
              <w:right w:w="108" w:type="dxa"/>
            </w:tcMar>
            <w:vAlign w:val="center"/>
            <w:hideMark/>
          </w:tcPr>
          <w:p w14:paraId="1E5D0912"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b/>
                <w:bCs/>
                <w:color w:val="000000"/>
                <w:kern w:val="24"/>
              </w:rPr>
              <w:t>Diferența față de 2019</w:t>
            </w:r>
          </w:p>
        </w:tc>
        <w:tc>
          <w:tcPr>
            <w:tcW w:w="1217" w:type="dxa"/>
            <w:tcBorders>
              <w:top w:val="single" w:sz="8" w:space="0" w:color="000000"/>
              <w:left w:val="single" w:sz="8" w:space="0" w:color="000000"/>
              <w:bottom w:val="dotted" w:sz="8" w:space="0" w:color="000000"/>
              <w:right w:val="nil"/>
            </w:tcBorders>
            <w:shd w:val="clear" w:color="auto" w:fill="B4C6E7"/>
            <w:tcMar>
              <w:top w:w="15" w:type="dxa"/>
              <w:left w:w="108" w:type="dxa"/>
              <w:bottom w:w="0" w:type="dxa"/>
              <w:right w:w="108" w:type="dxa"/>
            </w:tcMar>
            <w:vAlign w:val="center"/>
            <w:hideMark/>
          </w:tcPr>
          <w:p w14:paraId="7231B07B"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b/>
                <w:bCs/>
                <w:color w:val="000000"/>
                <w:kern w:val="24"/>
                <w:lang w:val="en-US"/>
              </w:rPr>
              <w:t>17,23</w:t>
            </w:r>
          </w:p>
        </w:tc>
        <w:tc>
          <w:tcPr>
            <w:tcW w:w="1139" w:type="dxa"/>
            <w:tcBorders>
              <w:top w:val="single" w:sz="8" w:space="0" w:color="000000"/>
              <w:left w:val="nil"/>
              <w:bottom w:val="dotted" w:sz="8" w:space="0" w:color="000000"/>
              <w:right w:val="nil"/>
            </w:tcBorders>
            <w:shd w:val="clear" w:color="auto" w:fill="B4C6E7"/>
            <w:tcMar>
              <w:top w:w="15" w:type="dxa"/>
              <w:left w:w="108" w:type="dxa"/>
              <w:bottom w:w="0" w:type="dxa"/>
              <w:right w:w="108" w:type="dxa"/>
            </w:tcMar>
            <w:vAlign w:val="center"/>
            <w:hideMark/>
          </w:tcPr>
          <w:p w14:paraId="774C60AE"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b/>
                <w:bCs/>
                <w:color w:val="000000"/>
                <w:kern w:val="24"/>
                <w:lang w:val="en-US"/>
              </w:rPr>
              <w:t>50,06</w:t>
            </w:r>
          </w:p>
        </w:tc>
        <w:tc>
          <w:tcPr>
            <w:tcW w:w="1142" w:type="dxa"/>
            <w:tcBorders>
              <w:top w:val="single" w:sz="8" w:space="0" w:color="000000"/>
              <w:left w:val="nil"/>
              <w:bottom w:val="dotted" w:sz="8" w:space="0" w:color="000000"/>
              <w:right w:val="single" w:sz="8" w:space="0" w:color="000000"/>
            </w:tcBorders>
            <w:shd w:val="clear" w:color="auto" w:fill="B4C6E7"/>
            <w:tcMar>
              <w:top w:w="15" w:type="dxa"/>
              <w:left w:w="108" w:type="dxa"/>
              <w:bottom w:w="0" w:type="dxa"/>
              <w:right w:w="108" w:type="dxa"/>
            </w:tcMar>
            <w:vAlign w:val="center"/>
            <w:hideMark/>
          </w:tcPr>
          <w:p w14:paraId="4825F91C"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b/>
                <w:bCs/>
                <w:color w:val="000000"/>
                <w:kern w:val="24"/>
                <w:lang w:val="en-US"/>
              </w:rPr>
              <w:t>73,30</w:t>
            </w:r>
          </w:p>
        </w:tc>
      </w:tr>
      <w:tr w:rsidR="003B38CB" w:rsidRPr="00102353" w14:paraId="7E74F059" w14:textId="77777777" w:rsidTr="0072760B">
        <w:trPr>
          <w:trHeight w:val="20"/>
          <w:jc w:val="center"/>
        </w:trPr>
        <w:tc>
          <w:tcPr>
            <w:tcW w:w="5072" w:type="dxa"/>
            <w:vMerge/>
            <w:tcBorders>
              <w:top w:val="single" w:sz="8" w:space="0" w:color="000000"/>
              <w:left w:val="single" w:sz="8" w:space="0" w:color="000000"/>
              <w:bottom w:val="single" w:sz="8" w:space="0" w:color="000000"/>
              <w:right w:val="single" w:sz="8" w:space="0" w:color="000000"/>
            </w:tcBorders>
            <w:vAlign w:val="center"/>
            <w:hideMark/>
          </w:tcPr>
          <w:p w14:paraId="6B563CA9" w14:textId="77777777" w:rsidR="003B38CB" w:rsidRPr="002924A1" w:rsidRDefault="003B38CB" w:rsidP="00065DE9">
            <w:pPr>
              <w:spacing w:after="0" w:line="240" w:lineRule="auto"/>
              <w:rPr>
                <w:rFonts w:ascii="Arial" w:eastAsia="Times New Roman" w:hAnsi="Arial" w:cs="Arial"/>
                <w:lang w:val="en-US"/>
              </w:rPr>
            </w:pPr>
          </w:p>
        </w:tc>
        <w:tc>
          <w:tcPr>
            <w:tcW w:w="2024" w:type="dxa"/>
            <w:tcBorders>
              <w:top w:val="dotted" w:sz="8" w:space="0" w:color="000000"/>
              <w:left w:val="single" w:sz="8" w:space="0" w:color="000000"/>
              <w:bottom w:val="single" w:sz="8" w:space="0" w:color="000000"/>
              <w:right w:val="single" w:sz="8" w:space="0" w:color="000000"/>
            </w:tcBorders>
            <w:shd w:val="clear" w:color="auto" w:fill="B4C6E7"/>
            <w:tcMar>
              <w:top w:w="15" w:type="dxa"/>
              <w:left w:w="108" w:type="dxa"/>
              <w:bottom w:w="0" w:type="dxa"/>
              <w:right w:w="108" w:type="dxa"/>
            </w:tcMar>
            <w:vAlign w:val="center"/>
            <w:hideMark/>
          </w:tcPr>
          <w:p w14:paraId="6662061F" w14:textId="77777777" w:rsidR="003B38CB" w:rsidRPr="002924A1" w:rsidRDefault="003B38CB" w:rsidP="00065DE9">
            <w:pPr>
              <w:spacing w:before="40" w:after="40" w:line="256" w:lineRule="auto"/>
              <w:rPr>
                <w:rFonts w:ascii="Arial" w:eastAsia="Times New Roman" w:hAnsi="Arial" w:cs="Arial"/>
                <w:lang w:val="en-US"/>
              </w:rPr>
            </w:pPr>
            <w:r w:rsidRPr="002924A1">
              <w:rPr>
                <w:rFonts w:ascii="Calibri" w:eastAsia="Times New Roman" w:hAnsi="Calibri" w:cs="Calibri"/>
                <w:b/>
                <w:bCs/>
                <w:color w:val="000000"/>
                <w:kern w:val="24"/>
              </w:rPr>
              <w:t>Diferența față de anul anterior</w:t>
            </w:r>
          </w:p>
        </w:tc>
        <w:tc>
          <w:tcPr>
            <w:tcW w:w="1217" w:type="dxa"/>
            <w:tcBorders>
              <w:top w:val="dotted" w:sz="8" w:space="0" w:color="000000"/>
              <w:left w:val="single" w:sz="8" w:space="0" w:color="000000"/>
              <w:bottom w:val="single" w:sz="8" w:space="0" w:color="000000"/>
              <w:right w:val="nil"/>
            </w:tcBorders>
            <w:shd w:val="clear" w:color="auto" w:fill="B4C6E7"/>
            <w:tcMar>
              <w:top w:w="15" w:type="dxa"/>
              <w:left w:w="108" w:type="dxa"/>
              <w:bottom w:w="0" w:type="dxa"/>
              <w:right w:w="108" w:type="dxa"/>
            </w:tcMar>
            <w:vAlign w:val="center"/>
            <w:hideMark/>
          </w:tcPr>
          <w:p w14:paraId="5991AE4C"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b/>
                <w:bCs/>
                <w:color w:val="000000"/>
                <w:kern w:val="24"/>
                <w:lang w:val="en-US"/>
              </w:rPr>
              <w:t>17,23</w:t>
            </w:r>
          </w:p>
        </w:tc>
        <w:tc>
          <w:tcPr>
            <w:tcW w:w="1139" w:type="dxa"/>
            <w:tcBorders>
              <w:top w:val="dotted" w:sz="8" w:space="0" w:color="000000"/>
              <w:left w:val="nil"/>
              <w:bottom w:val="single" w:sz="8" w:space="0" w:color="000000"/>
              <w:right w:val="nil"/>
            </w:tcBorders>
            <w:shd w:val="clear" w:color="auto" w:fill="B4C6E7"/>
            <w:tcMar>
              <w:top w:w="15" w:type="dxa"/>
              <w:left w:w="108" w:type="dxa"/>
              <w:bottom w:w="0" w:type="dxa"/>
              <w:right w:w="108" w:type="dxa"/>
            </w:tcMar>
            <w:vAlign w:val="center"/>
            <w:hideMark/>
          </w:tcPr>
          <w:p w14:paraId="44D88E0C"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b/>
                <w:bCs/>
                <w:color w:val="000000"/>
                <w:kern w:val="24"/>
                <w:lang w:val="en-US"/>
              </w:rPr>
              <w:t>32,83</w:t>
            </w:r>
          </w:p>
        </w:tc>
        <w:tc>
          <w:tcPr>
            <w:tcW w:w="1142" w:type="dxa"/>
            <w:tcBorders>
              <w:top w:val="dotted" w:sz="8" w:space="0" w:color="000000"/>
              <w:left w:val="nil"/>
              <w:bottom w:val="single" w:sz="8" w:space="0" w:color="000000"/>
              <w:right w:val="single" w:sz="8" w:space="0" w:color="000000"/>
            </w:tcBorders>
            <w:shd w:val="clear" w:color="auto" w:fill="B4C6E7"/>
            <w:tcMar>
              <w:top w:w="15" w:type="dxa"/>
              <w:left w:w="108" w:type="dxa"/>
              <w:bottom w:w="0" w:type="dxa"/>
              <w:right w:w="108" w:type="dxa"/>
            </w:tcMar>
            <w:vAlign w:val="center"/>
            <w:hideMark/>
          </w:tcPr>
          <w:p w14:paraId="42CE468A" w14:textId="77777777" w:rsidR="003B38CB" w:rsidRPr="002924A1" w:rsidRDefault="003B38CB" w:rsidP="00065DE9">
            <w:pPr>
              <w:spacing w:after="0" w:line="256" w:lineRule="auto"/>
              <w:jc w:val="center"/>
              <w:rPr>
                <w:rFonts w:ascii="Arial" w:eastAsia="Times New Roman" w:hAnsi="Arial" w:cs="Arial"/>
                <w:lang w:val="en-US"/>
              </w:rPr>
            </w:pPr>
            <w:r w:rsidRPr="002924A1">
              <w:rPr>
                <w:rFonts w:ascii="Calibri" w:eastAsia="Times New Roman" w:hAnsi="Calibri" w:cs="Calibri"/>
                <w:b/>
                <w:bCs/>
                <w:color w:val="000000"/>
                <w:kern w:val="24"/>
                <w:lang w:val="en-US"/>
              </w:rPr>
              <w:t>23,24</w:t>
            </w:r>
          </w:p>
        </w:tc>
      </w:tr>
    </w:tbl>
    <w:p w14:paraId="67358CD4" w14:textId="77777777" w:rsidR="003B38CB" w:rsidRDefault="003B38CB" w:rsidP="003B38CB">
      <w:pPr>
        <w:ind w:left="-142"/>
        <w:rPr>
          <w:i/>
          <w:iCs/>
          <w:sz w:val="24"/>
          <w:szCs w:val="24"/>
        </w:rPr>
      </w:pPr>
      <w:r w:rsidRPr="002924A1">
        <w:rPr>
          <w:i/>
          <w:iCs/>
          <w:sz w:val="24"/>
          <w:szCs w:val="24"/>
        </w:rPr>
        <w:t>Sursa:</w:t>
      </w:r>
      <w:r>
        <w:rPr>
          <w:i/>
          <w:iCs/>
          <w:sz w:val="24"/>
          <w:szCs w:val="24"/>
        </w:rPr>
        <w:t xml:space="preserve"> MFP</w:t>
      </w:r>
      <w:r w:rsidRPr="002924A1">
        <w:rPr>
          <w:i/>
          <w:iCs/>
          <w:sz w:val="24"/>
          <w:szCs w:val="24"/>
        </w:rPr>
        <w:t xml:space="preserve">, calcule </w:t>
      </w:r>
      <w:r>
        <w:rPr>
          <w:i/>
          <w:iCs/>
          <w:sz w:val="24"/>
          <w:szCs w:val="24"/>
        </w:rPr>
        <w:t>CF</w:t>
      </w:r>
    </w:p>
    <w:p w14:paraId="0C687CA8" w14:textId="77777777" w:rsidR="003B38CB" w:rsidRPr="002924A1" w:rsidRDefault="003B38CB" w:rsidP="003B38CB">
      <w:pPr>
        <w:ind w:left="-142"/>
        <w:rPr>
          <w:b/>
          <w:bCs/>
          <w:i/>
          <w:iCs/>
          <w:sz w:val="24"/>
          <w:szCs w:val="24"/>
        </w:rPr>
      </w:pPr>
      <w:r w:rsidRPr="002924A1">
        <w:rPr>
          <w:b/>
          <w:bCs/>
          <w:i/>
          <w:iCs/>
          <w:sz w:val="24"/>
          <w:szCs w:val="24"/>
        </w:rPr>
        <w:t>ANEXA 3</w:t>
      </w:r>
    </w:p>
    <w:tbl>
      <w:tblPr>
        <w:tblStyle w:val="TableGrid"/>
        <w:tblW w:w="10712" w:type="dxa"/>
        <w:jc w:val="center"/>
        <w:tblLook w:val="04A0" w:firstRow="1" w:lastRow="0" w:firstColumn="1" w:lastColumn="0" w:noHBand="0" w:noVBand="1"/>
      </w:tblPr>
      <w:tblGrid>
        <w:gridCol w:w="10712"/>
      </w:tblGrid>
      <w:tr w:rsidR="003B38CB" w14:paraId="7D8F9F32" w14:textId="77777777" w:rsidTr="00113AA5">
        <w:trPr>
          <w:jc w:val="center"/>
        </w:trPr>
        <w:tc>
          <w:tcPr>
            <w:tcW w:w="10712" w:type="dxa"/>
            <w:shd w:val="clear" w:color="auto" w:fill="0070C0"/>
          </w:tcPr>
          <w:p w14:paraId="1F82F221" w14:textId="3F73D7E1" w:rsidR="003B38CB" w:rsidRPr="00224BAD" w:rsidRDefault="003B38CB" w:rsidP="00065DE9">
            <w:pPr>
              <w:spacing w:before="120" w:after="120"/>
              <w:jc w:val="center"/>
              <w:rPr>
                <w:b/>
                <w:bCs/>
                <w:color w:val="FFFFFF" w:themeColor="background1"/>
                <w:sz w:val="24"/>
                <w:szCs w:val="24"/>
              </w:rPr>
            </w:pPr>
            <w:r w:rsidRPr="00224BAD">
              <w:rPr>
                <w:b/>
                <w:bCs/>
                <w:color w:val="FFFFFF" w:themeColor="background1"/>
                <w:sz w:val="24"/>
                <w:szCs w:val="24"/>
              </w:rPr>
              <w:t>Evoluția cheltuielilor de investiții publice în perioada 2009-20</w:t>
            </w:r>
            <w:r>
              <w:rPr>
                <w:b/>
                <w:bCs/>
                <w:color w:val="FFFFFF" w:themeColor="background1"/>
                <w:sz w:val="24"/>
                <w:szCs w:val="24"/>
              </w:rPr>
              <w:t>20</w:t>
            </w:r>
            <w:r w:rsidRPr="00224BAD">
              <w:rPr>
                <w:b/>
                <w:bCs/>
                <w:color w:val="FFFFFF" w:themeColor="background1"/>
                <w:sz w:val="24"/>
                <w:szCs w:val="24"/>
              </w:rPr>
              <w:t xml:space="preserve"> – nivel </w:t>
            </w:r>
            <w:r w:rsidR="003E426C">
              <w:rPr>
                <w:b/>
                <w:bCs/>
                <w:color w:val="FFFFFF" w:themeColor="background1"/>
                <w:sz w:val="24"/>
                <w:szCs w:val="24"/>
              </w:rPr>
              <w:t>planificat vs. realizări (mil. l</w:t>
            </w:r>
            <w:r w:rsidRPr="00224BAD">
              <w:rPr>
                <w:b/>
                <w:bCs/>
                <w:color w:val="FFFFFF" w:themeColor="background1"/>
                <w:sz w:val="24"/>
                <w:szCs w:val="24"/>
              </w:rPr>
              <w:t>ei)</w:t>
            </w:r>
          </w:p>
        </w:tc>
      </w:tr>
      <w:tr w:rsidR="003B38CB" w14:paraId="3B02E959" w14:textId="77777777" w:rsidTr="00113AA5">
        <w:trPr>
          <w:jc w:val="center"/>
        </w:trPr>
        <w:tc>
          <w:tcPr>
            <w:tcW w:w="10712" w:type="dxa"/>
          </w:tcPr>
          <w:p w14:paraId="09DB3EBF" w14:textId="63EB6A35" w:rsidR="003B38CB" w:rsidRDefault="0013229D" w:rsidP="00065DE9">
            <w:pPr>
              <w:ind w:left="285" w:hanging="285"/>
            </w:pPr>
            <w:r>
              <w:rPr>
                <w:noProof/>
                <w:lang w:eastAsia="ro-RO"/>
              </w:rPr>
              <w:lastRenderedPageBreak/>
              <w:drawing>
                <wp:inline distT="0" distB="0" distL="0" distR="0" wp14:anchorId="20F09B1B" wp14:editId="14BE4F0D">
                  <wp:extent cx="6614795" cy="4584700"/>
                  <wp:effectExtent l="0" t="0" r="0" b="6350"/>
                  <wp:docPr id="14" name="I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14795" cy="4584700"/>
                          </a:xfrm>
                          <a:prstGeom prst="rect">
                            <a:avLst/>
                          </a:prstGeom>
                          <a:noFill/>
                        </pic:spPr>
                      </pic:pic>
                    </a:graphicData>
                  </a:graphic>
                </wp:inline>
              </w:drawing>
            </w:r>
          </w:p>
        </w:tc>
      </w:tr>
    </w:tbl>
    <w:p w14:paraId="79BECB81" w14:textId="6861A6A8" w:rsidR="003B38CB" w:rsidRPr="00386049" w:rsidRDefault="00063297" w:rsidP="003B38CB">
      <w:pPr>
        <w:ind w:left="-284"/>
        <w:rPr>
          <w:i/>
          <w:iCs/>
          <w:sz w:val="24"/>
          <w:szCs w:val="24"/>
        </w:rPr>
      </w:pPr>
      <w:r>
        <w:rPr>
          <w:i/>
          <w:iCs/>
          <w:sz w:val="24"/>
          <w:szCs w:val="24"/>
        </w:rPr>
        <w:t>Sursa:</w:t>
      </w:r>
      <w:r w:rsidR="003B38CB" w:rsidRPr="002924A1">
        <w:rPr>
          <w:i/>
          <w:iCs/>
          <w:sz w:val="24"/>
          <w:szCs w:val="24"/>
        </w:rPr>
        <w:t xml:space="preserve"> </w:t>
      </w:r>
      <w:r w:rsidR="003B38CB">
        <w:rPr>
          <w:i/>
          <w:iCs/>
          <w:sz w:val="24"/>
          <w:szCs w:val="24"/>
        </w:rPr>
        <w:t>MFP</w:t>
      </w:r>
      <w:r w:rsidR="003B38CB" w:rsidRPr="002924A1">
        <w:rPr>
          <w:i/>
          <w:iCs/>
          <w:sz w:val="24"/>
          <w:szCs w:val="24"/>
        </w:rPr>
        <w:t xml:space="preserve">, calcule </w:t>
      </w:r>
      <w:r w:rsidR="003B38CB">
        <w:rPr>
          <w:i/>
          <w:iCs/>
          <w:sz w:val="24"/>
          <w:szCs w:val="24"/>
        </w:rPr>
        <w:t>CF</w:t>
      </w:r>
    </w:p>
    <w:p w14:paraId="2791FB57" w14:textId="77777777" w:rsidR="003B38CB" w:rsidRDefault="003B38CB" w:rsidP="003B38CB">
      <w:pPr>
        <w:widowControl w:val="0"/>
        <w:autoSpaceDE w:val="0"/>
        <w:autoSpaceDN w:val="0"/>
        <w:adjustRightInd w:val="0"/>
        <w:spacing w:after="200" w:line="276" w:lineRule="auto"/>
        <w:jc w:val="both"/>
        <w:rPr>
          <w:sz w:val="24"/>
          <w:szCs w:val="24"/>
        </w:rPr>
      </w:pPr>
    </w:p>
    <w:p w14:paraId="26640C9A" w14:textId="77777777" w:rsidR="003B38CB" w:rsidRDefault="003B38CB" w:rsidP="003B38CB">
      <w:pPr>
        <w:widowControl w:val="0"/>
        <w:autoSpaceDE w:val="0"/>
        <w:autoSpaceDN w:val="0"/>
        <w:adjustRightInd w:val="0"/>
        <w:spacing w:after="200" w:line="276" w:lineRule="auto"/>
        <w:ind w:left="284"/>
        <w:jc w:val="right"/>
        <w:rPr>
          <w:sz w:val="24"/>
          <w:szCs w:val="24"/>
        </w:rPr>
      </w:pPr>
    </w:p>
    <w:p w14:paraId="67443B2C" w14:textId="77777777" w:rsidR="003B38CB" w:rsidRPr="00C47EA3" w:rsidRDefault="003B38CB" w:rsidP="003B38CB">
      <w:pPr>
        <w:widowControl w:val="0"/>
        <w:autoSpaceDE w:val="0"/>
        <w:autoSpaceDN w:val="0"/>
        <w:adjustRightInd w:val="0"/>
        <w:spacing w:after="200" w:line="276" w:lineRule="auto"/>
        <w:rPr>
          <w:sz w:val="24"/>
          <w:szCs w:val="24"/>
        </w:rPr>
      </w:pPr>
    </w:p>
    <w:p w14:paraId="7B62FF8E" w14:textId="77777777" w:rsidR="003B38CB" w:rsidRDefault="003B38CB" w:rsidP="003B38CB">
      <w:pPr>
        <w:widowControl w:val="0"/>
        <w:autoSpaceDE w:val="0"/>
        <w:autoSpaceDN w:val="0"/>
        <w:adjustRightInd w:val="0"/>
        <w:spacing w:after="200" w:line="276" w:lineRule="auto"/>
        <w:jc w:val="both"/>
        <w:rPr>
          <w:sz w:val="24"/>
          <w:szCs w:val="24"/>
        </w:rPr>
      </w:pPr>
    </w:p>
    <w:p w14:paraId="63213F9E" w14:textId="77777777" w:rsidR="00A92BFC" w:rsidRDefault="00A92BFC" w:rsidP="00DC3755">
      <w:pPr>
        <w:widowControl w:val="0"/>
        <w:autoSpaceDE w:val="0"/>
        <w:autoSpaceDN w:val="0"/>
        <w:adjustRightInd w:val="0"/>
        <w:spacing w:after="200" w:line="276" w:lineRule="auto"/>
        <w:jc w:val="right"/>
        <w:rPr>
          <w:sz w:val="24"/>
          <w:szCs w:val="24"/>
        </w:rPr>
      </w:pPr>
    </w:p>
    <w:p w14:paraId="46FC6112" w14:textId="77777777" w:rsidR="002924A1" w:rsidRPr="002924A1" w:rsidRDefault="002924A1" w:rsidP="002924A1">
      <w:pPr>
        <w:rPr>
          <w:sz w:val="24"/>
          <w:szCs w:val="24"/>
        </w:rPr>
      </w:pPr>
    </w:p>
    <w:p w14:paraId="21C51FA4" w14:textId="5418208F" w:rsidR="002924A1" w:rsidRDefault="002924A1" w:rsidP="002924A1">
      <w:pPr>
        <w:jc w:val="right"/>
        <w:rPr>
          <w:sz w:val="24"/>
          <w:szCs w:val="24"/>
        </w:rPr>
      </w:pPr>
    </w:p>
    <w:sectPr w:rsidR="002924A1" w:rsidSect="006B49CB">
      <w:headerReference w:type="default" r:id="rId17"/>
      <w:pgSz w:w="12240" w:h="15840"/>
      <w:pgMar w:top="1418" w:right="851" w:bottom="1418"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2AD5F" w14:textId="77777777" w:rsidR="00C162D5" w:rsidRDefault="00C162D5" w:rsidP="00B028F8">
      <w:pPr>
        <w:spacing w:after="0" w:line="240" w:lineRule="auto"/>
      </w:pPr>
      <w:r>
        <w:separator/>
      </w:r>
    </w:p>
  </w:endnote>
  <w:endnote w:type="continuationSeparator" w:id="0">
    <w:p w14:paraId="4CCF4BD8" w14:textId="77777777" w:rsidR="00C162D5" w:rsidRDefault="00C162D5" w:rsidP="00B02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7063214"/>
      <w:docPartObj>
        <w:docPartGallery w:val="Page Numbers (Bottom of Page)"/>
        <w:docPartUnique/>
      </w:docPartObj>
    </w:sdtPr>
    <w:sdtEndPr/>
    <w:sdtContent>
      <w:p w14:paraId="146247EB" w14:textId="1410DF2A" w:rsidR="00267CF4" w:rsidRDefault="00267CF4">
        <w:pPr>
          <w:pStyle w:val="Footer"/>
          <w:jc w:val="center"/>
        </w:pPr>
        <w:r>
          <w:fldChar w:fldCharType="begin"/>
        </w:r>
        <w:r>
          <w:instrText>PAGE   \* MERGEFORMAT</w:instrText>
        </w:r>
        <w:r>
          <w:fldChar w:fldCharType="separate"/>
        </w:r>
        <w:r w:rsidR="00F56988">
          <w:rPr>
            <w:noProof/>
          </w:rPr>
          <w:t>8</w:t>
        </w:r>
        <w:r>
          <w:fldChar w:fldCharType="end"/>
        </w:r>
      </w:p>
    </w:sdtContent>
  </w:sdt>
  <w:p w14:paraId="196DABF5" w14:textId="77777777" w:rsidR="00267CF4" w:rsidRDefault="0026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D376A" w14:textId="77777777" w:rsidR="00C162D5" w:rsidRDefault="00C162D5" w:rsidP="00B028F8">
      <w:pPr>
        <w:spacing w:after="0" w:line="240" w:lineRule="auto"/>
      </w:pPr>
      <w:r>
        <w:separator/>
      </w:r>
    </w:p>
  </w:footnote>
  <w:footnote w:type="continuationSeparator" w:id="0">
    <w:p w14:paraId="0F1F5435" w14:textId="77777777" w:rsidR="00C162D5" w:rsidRDefault="00C162D5" w:rsidP="00B028F8">
      <w:pPr>
        <w:spacing w:after="0" w:line="240" w:lineRule="auto"/>
      </w:pPr>
      <w:r>
        <w:continuationSeparator/>
      </w:r>
    </w:p>
  </w:footnote>
  <w:footnote w:id="1">
    <w:p w14:paraId="437F1B07" w14:textId="50296D8E" w:rsidR="00267CF4" w:rsidRPr="003627A7" w:rsidRDefault="00267CF4" w:rsidP="001927F2">
      <w:pPr>
        <w:pStyle w:val="FootnoteText"/>
        <w:jc w:val="both"/>
        <w:rPr>
          <w:lang w:val="ro-RO"/>
        </w:rPr>
      </w:pPr>
      <w:r>
        <w:rPr>
          <w:rStyle w:val="FootnoteReference"/>
        </w:rPr>
        <w:footnoteRef/>
      </w:r>
      <w:r w:rsidRPr="00267CF4">
        <w:rPr>
          <w:lang w:val="fr-FR"/>
        </w:rPr>
        <w:t xml:space="preserve"> </w:t>
      </w:r>
      <w:r w:rsidRPr="001927F2">
        <w:rPr>
          <w:rFonts w:asciiTheme="minorHAnsi" w:hAnsiTheme="minorHAnsi"/>
          <w:sz w:val="22"/>
          <w:szCs w:val="22"/>
          <w:lang w:val="ro-RO"/>
        </w:rPr>
        <w:t>Este de menționat aici modificarea operată ulterior elaborării și pu</w:t>
      </w:r>
      <w:r>
        <w:rPr>
          <w:rFonts w:asciiTheme="minorHAnsi" w:hAnsiTheme="minorHAnsi"/>
          <w:sz w:val="22"/>
          <w:szCs w:val="22"/>
          <w:lang w:val="ro-RO"/>
        </w:rPr>
        <w:t>blicării Opiniei CF asupra celei</w:t>
      </w:r>
      <w:r w:rsidRPr="001927F2">
        <w:rPr>
          <w:rFonts w:asciiTheme="minorHAnsi" w:hAnsiTheme="minorHAnsi"/>
          <w:sz w:val="22"/>
          <w:szCs w:val="22"/>
          <w:lang w:val="ro-RO"/>
        </w:rPr>
        <w:t xml:space="preserve"> de-a doua rectificări bugetare, respectiv, majorarea deficitului bugetar de la 4,3% la 4,43% din PIB</w:t>
      </w:r>
      <w:r>
        <w:rPr>
          <w:rFonts w:asciiTheme="minorHAnsi" w:hAnsiTheme="minorHAnsi"/>
          <w:sz w:val="22"/>
          <w:szCs w:val="22"/>
          <w:lang w:val="ro-RO"/>
        </w:rPr>
        <w:t>.</w:t>
      </w:r>
    </w:p>
  </w:footnote>
  <w:footnote w:id="2">
    <w:p w14:paraId="4F3076A7" w14:textId="4EAB354C" w:rsidR="00267CF4" w:rsidRPr="00B7139A" w:rsidRDefault="00267CF4" w:rsidP="00E7473D">
      <w:pPr>
        <w:pStyle w:val="FootnoteText"/>
        <w:spacing w:after="0"/>
        <w:jc w:val="both"/>
        <w:rPr>
          <w:sz w:val="22"/>
          <w:szCs w:val="22"/>
          <w:lang w:val="ro-RO"/>
        </w:rPr>
      </w:pPr>
      <w:r w:rsidRPr="00762BA6">
        <w:rPr>
          <w:rStyle w:val="FootnoteReference"/>
          <w:lang w:val="ro-RO"/>
        </w:rPr>
        <w:footnoteRef/>
      </w:r>
      <w:r w:rsidRPr="00762BA6">
        <w:rPr>
          <w:lang w:val="ro-RO"/>
        </w:rPr>
        <w:t xml:space="preserve"> </w:t>
      </w:r>
      <w:r w:rsidRPr="00B7139A">
        <w:rPr>
          <w:sz w:val="22"/>
          <w:szCs w:val="22"/>
          <w:lang w:val="ro-RO"/>
        </w:rPr>
        <w:t>Cu excepția Estoniei</w:t>
      </w:r>
      <w:r>
        <w:rPr>
          <w:sz w:val="22"/>
          <w:szCs w:val="22"/>
          <w:lang w:val="ro-RO"/>
        </w:rPr>
        <w:t>.</w:t>
      </w:r>
    </w:p>
  </w:footnote>
  <w:footnote w:id="3">
    <w:p w14:paraId="54F4FF9F" w14:textId="469A7DCE" w:rsidR="00267CF4" w:rsidRPr="00041477" w:rsidRDefault="00267CF4" w:rsidP="00E7473D">
      <w:pPr>
        <w:pStyle w:val="FootnoteText"/>
        <w:spacing w:after="0"/>
        <w:jc w:val="both"/>
        <w:rPr>
          <w:lang w:val="ro-RO"/>
        </w:rPr>
      </w:pPr>
      <w:r w:rsidRPr="00B7139A">
        <w:rPr>
          <w:rStyle w:val="FootnoteReference"/>
          <w:sz w:val="22"/>
          <w:szCs w:val="22"/>
          <w:lang w:val="ro-RO"/>
        </w:rPr>
        <w:footnoteRef/>
      </w:r>
      <w:r w:rsidRPr="00B7139A">
        <w:rPr>
          <w:sz w:val="22"/>
          <w:szCs w:val="22"/>
          <w:lang w:val="ro-RO"/>
        </w:rPr>
        <w:t xml:space="preserve"> La nivel internațional, actualul ciclu economic este caracterizat de o durată neobișnuit de lungă, considerând evoluțiile istorice, iar probabilitatea de încheiere a acestuia – prin revenirea la faza de recesiune – se majorează în timp. </w:t>
      </w:r>
    </w:p>
  </w:footnote>
  <w:footnote w:id="4">
    <w:p w14:paraId="2FD377CB" w14:textId="10086957" w:rsidR="00267CF4" w:rsidRPr="00D502EE" w:rsidRDefault="00267CF4" w:rsidP="002E51D9">
      <w:pPr>
        <w:pStyle w:val="FootnoteText"/>
        <w:jc w:val="both"/>
        <w:rPr>
          <w:sz w:val="22"/>
          <w:szCs w:val="22"/>
          <w:lang w:val="ro-RO"/>
        </w:rPr>
      </w:pPr>
      <w:r w:rsidRPr="00D502EE">
        <w:rPr>
          <w:rStyle w:val="FootnoteReference"/>
          <w:sz w:val="22"/>
          <w:szCs w:val="22"/>
        </w:rPr>
        <w:footnoteRef/>
      </w:r>
      <w:r w:rsidRPr="00D502EE">
        <w:rPr>
          <w:sz w:val="22"/>
          <w:szCs w:val="22"/>
          <w:lang w:val="fr-FR"/>
        </w:rPr>
        <w:t xml:space="preserve"> </w:t>
      </w:r>
      <w:r w:rsidRPr="00D502EE">
        <w:rPr>
          <w:sz w:val="22"/>
          <w:szCs w:val="22"/>
          <w:lang w:val="ro-RO"/>
        </w:rPr>
        <w:t>Majorarea programată a pensiei minime și modificarea formulei de calcul a pensiilor.</w:t>
      </w:r>
    </w:p>
  </w:footnote>
  <w:footnote w:id="5">
    <w:p w14:paraId="35311205" w14:textId="631939DE" w:rsidR="00267CF4" w:rsidRPr="00EA7748" w:rsidRDefault="00267CF4" w:rsidP="00EA7748">
      <w:pPr>
        <w:pStyle w:val="FootnoteText"/>
        <w:jc w:val="both"/>
        <w:rPr>
          <w:lang w:val="ro-RO"/>
        </w:rPr>
      </w:pPr>
      <w:r>
        <w:rPr>
          <w:rStyle w:val="FootnoteReference"/>
        </w:rPr>
        <w:footnoteRef/>
      </w:r>
      <w:r w:rsidRPr="00267CF4">
        <w:rPr>
          <w:lang w:val="fr-FR"/>
        </w:rPr>
        <w:t xml:space="preserve"> </w:t>
      </w:r>
      <w:r w:rsidRPr="00D502EE">
        <w:rPr>
          <w:sz w:val="22"/>
          <w:szCs w:val="22"/>
          <w:lang w:val="ro-RO"/>
        </w:rPr>
        <w:t>Estimată de CF pe baza execuției bugetare la 11 luni.</w:t>
      </w:r>
      <w:r>
        <w:rPr>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ri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8470"/>
    </w:tblGrid>
    <w:tr w:rsidR="00267CF4" w:rsidRPr="0069704F" w14:paraId="408893A7" w14:textId="77777777" w:rsidTr="00267CF4">
      <w:trPr>
        <w:trHeight w:val="1276"/>
      </w:trPr>
      <w:tc>
        <w:tcPr>
          <w:tcW w:w="1809" w:type="dxa"/>
        </w:tcPr>
        <w:p w14:paraId="0345A1AB" w14:textId="77777777" w:rsidR="00267CF4" w:rsidRPr="0069704F" w:rsidRDefault="00267CF4" w:rsidP="00267CF4">
          <w:pPr>
            <w:tabs>
              <w:tab w:val="center" w:pos="4680"/>
              <w:tab w:val="right" w:pos="9360"/>
            </w:tabs>
            <w:rPr>
              <w:lang w:val="en-US"/>
            </w:rPr>
          </w:pPr>
          <w:r w:rsidRPr="0069704F">
            <w:rPr>
              <w:noProof/>
              <w:lang w:eastAsia="ro-RO"/>
            </w:rPr>
            <w:drawing>
              <wp:inline distT="0" distB="0" distL="0" distR="0" wp14:anchorId="529550B9" wp14:editId="4546A7FE">
                <wp:extent cx="1130300" cy="93980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cf .JPG"/>
                        <pic:cNvPicPr/>
                      </pic:nvPicPr>
                      <pic:blipFill>
                        <a:blip r:embed="rId1">
                          <a:extLst>
                            <a:ext uri="{28A0092B-C50C-407E-A947-70E740481C1C}">
                              <a14:useLocalDpi xmlns:a14="http://schemas.microsoft.com/office/drawing/2010/main" val="0"/>
                            </a:ext>
                          </a:extLst>
                        </a:blip>
                        <a:stretch>
                          <a:fillRect/>
                        </a:stretch>
                      </pic:blipFill>
                      <pic:spPr>
                        <a:xfrm>
                          <a:off x="0" y="0"/>
                          <a:ext cx="1130300" cy="939800"/>
                        </a:xfrm>
                        <a:prstGeom prst="rect">
                          <a:avLst/>
                        </a:prstGeom>
                      </pic:spPr>
                    </pic:pic>
                  </a:graphicData>
                </a:graphic>
              </wp:inline>
            </w:drawing>
          </w:r>
        </w:p>
      </w:tc>
      <w:tc>
        <w:tcPr>
          <w:tcW w:w="8470" w:type="dxa"/>
          <w:vAlign w:val="center"/>
        </w:tcPr>
        <w:p w14:paraId="2157CE0D" w14:textId="77777777" w:rsidR="00267CF4" w:rsidRPr="0069704F" w:rsidRDefault="00267CF4" w:rsidP="00267CF4">
          <w:pPr>
            <w:tabs>
              <w:tab w:val="center" w:pos="4680"/>
              <w:tab w:val="right" w:pos="9360"/>
            </w:tabs>
            <w:rPr>
              <w:b/>
              <w:i/>
              <w:iCs/>
              <w:lang w:val="en-US"/>
            </w:rPr>
          </w:pPr>
          <w:r w:rsidRPr="0069704F">
            <w:rPr>
              <w:rFonts w:eastAsia="Calibri" w:cs="Times New Roman"/>
              <w:b/>
              <w:i/>
              <w:iCs/>
              <w:color w:val="0070C0"/>
              <w:sz w:val="28"/>
              <w:szCs w:val="28"/>
            </w:rPr>
            <w:t>Consiliul Fiscal al României</w:t>
          </w:r>
        </w:p>
      </w:tc>
    </w:tr>
  </w:tbl>
  <w:p w14:paraId="26EE11CF" w14:textId="77777777" w:rsidR="00267CF4" w:rsidRDefault="00267C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314D7" w14:textId="77777777" w:rsidR="00267CF4" w:rsidRDefault="00267C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7713"/>
    <w:multiLevelType w:val="hybridMultilevel"/>
    <w:tmpl w:val="D660D300"/>
    <w:lvl w:ilvl="0" w:tplc="04180003">
      <w:start w:val="1"/>
      <w:numFmt w:val="bullet"/>
      <w:lvlText w:val="o"/>
      <w:lvlJc w:val="left"/>
      <w:pPr>
        <w:ind w:left="371" w:hanging="360"/>
      </w:pPr>
      <w:rPr>
        <w:rFonts w:ascii="Courier New" w:hAnsi="Courier New" w:cs="Courier New" w:hint="default"/>
      </w:rPr>
    </w:lvl>
    <w:lvl w:ilvl="1" w:tplc="04090003" w:tentative="1">
      <w:start w:val="1"/>
      <w:numFmt w:val="bullet"/>
      <w:lvlText w:val="o"/>
      <w:lvlJc w:val="left"/>
      <w:pPr>
        <w:ind w:left="1091" w:hanging="360"/>
      </w:pPr>
      <w:rPr>
        <w:rFonts w:ascii="Courier New" w:hAnsi="Courier New" w:cs="Courier New" w:hint="default"/>
      </w:rPr>
    </w:lvl>
    <w:lvl w:ilvl="2" w:tplc="04090005" w:tentative="1">
      <w:start w:val="1"/>
      <w:numFmt w:val="bullet"/>
      <w:lvlText w:val=""/>
      <w:lvlJc w:val="left"/>
      <w:pPr>
        <w:ind w:left="1811" w:hanging="360"/>
      </w:pPr>
      <w:rPr>
        <w:rFonts w:ascii="Wingdings" w:hAnsi="Wingdings" w:hint="default"/>
      </w:rPr>
    </w:lvl>
    <w:lvl w:ilvl="3" w:tplc="04090001" w:tentative="1">
      <w:start w:val="1"/>
      <w:numFmt w:val="bullet"/>
      <w:lvlText w:val=""/>
      <w:lvlJc w:val="left"/>
      <w:pPr>
        <w:ind w:left="2531" w:hanging="360"/>
      </w:pPr>
      <w:rPr>
        <w:rFonts w:ascii="Symbol" w:hAnsi="Symbol" w:hint="default"/>
      </w:rPr>
    </w:lvl>
    <w:lvl w:ilvl="4" w:tplc="04090003" w:tentative="1">
      <w:start w:val="1"/>
      <w:numFmt w:val="bullet"/>
      <w:lvlText w:val="o"/>
      <w:lvlJc w:val="left"/>
      <w:pPr>
        <w:ind w:left="3251" w:hanging="360"/>
      </w:pPr>
      <w:rPr>
        <w:rFonts w:ascii="Courier New" w:hAnsi="Courier New" w:cs="Courier New" w:hint="default"/>
      </w:rPr>
    </w:lvl>
    <w:lvl w:ilvl="5" w:tplc="04090005" w:tentative="1">
      <w:start w:val="1"/>
      <w:numFmt w:val="bullet"/>
      <w:lvlText w:val=""/>
      <w:lvlJc w:val="left"/>
      <w:pPr>
        <w:ind w:left="3971" w:hanging="360"/>
      </w:pPr>
      <w:rPr>
        <w:rFonts w:ascii="Wingdings" w:hAnsi="Wingdings" w:hint="default"/>
      </w:rPr>
    </w:lvl>
    <w:lvl w:ilvl="6" w:tplc="04090001" w:tentative="1">
      <w:start w:val="1"/>
      <w:numFmt w:val="bullet"/>
      <w:lvlText w:val=""/>
      <w:lvlJc w:val="left"/>
      <w:pPr>
        <w:ind w:left="4691" w:hanging="360"/>
      </w:pPr>
      <w:rPr>
        <w:rFonts w:ascii="Symbol" w:hAnsi="Symbol" w:hint="default"/>
      </w:rPr>
    </w:lvl>
    <w:lvl w:ilvl="7" w:tplc="04090003" w:tentative="1">
      <w:start w:val="1"/>
      <w:numFmt w:val="bullet"/>
      <w:lvlText w:val="o"/>
      <w:lvlJc w:val="left"/>
      <w:pPr>
        <w:ind w:left="5411" w:hanging="360"/>
      </w:pPr>
      <w:rPr>
        <w:rFonts w:ascii="Courier New" w:hAnsi="Courier New" w:cs="Courier New" w:hint="default"/>
      </w:rPr>
    </w:lvl>
    <w:lvl w:ilvl="8" w:tplc="04090005" w:tentative="1">
      <w:start w:val="1"/>
      <w:numFmt w:val="bullet"/>
      <w:lvlText w:val=""/>
      <w:lvlJc w:val="left"/>
      <w:pPr>
        <w:ind w:left="6131" w:hanging="360"/>
      </w:pPr>
      <w:rPr>
        <w:rFonts w:ascii="Wingdings" w:hAnsi="Wingdings" w:hint="default"/>
      </w:rPr>
    </w:lvl>
  </w:abstractNum>
  <w:abstractNum w:abstractNumId="1">
    <w:nsid w:val="209D70F1"/>
    <w:multiLevelType w:val="hybridMultilevel"/>
    <w:tmpl w:val="589A7BD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27262654"/>
    <w:multiLevelType w:val="hybridMultilevel"/>
    <w:tmpl w:val="D93A4382"/>
    <w:lvl w:ilvl="0" w:tplc="A190999E">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075BB"/>
    <w:multiLevelType w:val="hybridMultilevel"/>
    <w:tmpl w:val="1814174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28F56C4"/>
    <w:multiLevelType w:val="hybridMultilevel"/>
    <w:tmpl w:val="CC86CCC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nsid w:val="3423616D"/>
    <w:multiLevelType w:val="hybridMultilevel"/>
    <w:tmpl w:val="57F843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ED4E64"/>
    <w:multiLevelType w:val="hybridMultilevel"/>
    <w:tmpl w:val="4F9C9B8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241C0"/>
    <w:multiLevelType w:val="hybridMultilevel"/>
    <w:tmpl w:val="D882AB70"/>
    <w:lvl w:ilvl="0" w:tplc="27EA9C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0028D7"/>
    <w:multiLevelType w:val="hybridMultilevel"/>
    <w:tmpl w:val="F6F6CF4E"/>
    <w:lvl w:ilvl="0" w:tplc="0418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46491D14"/>
    <w:multiLevelType w:val="hybridMultilevel"/>
    <w:tmpl w:val="B896C7DA"/>
    <w:lvl w:ilvl="0" w:tplc="7B8E753E">
      <w:start w:val="1"/>
      <w:numFmt w:val="lowerRoman"/>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7347B"/>
    <w:multiLevelType w:val="hybridMultilevel"/>
    <w:tmpl w:val="F9364652"/>
    <w:lvl w:ilvl="0" w:tplc="51AA7788">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7CB7794"/>
    <w:multiLevelType w:val="hybridMultilevel"/>
    <w:tmpl w:val="577CB21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4CBF057A"/>
    <w:multiLevelType w:val="hybridMultilevel"/>
    <w:tmpl w:val="500C7162"/>
    <w:lvl w:ilvl="0" w:tplc="B478FF06">
      <w:numFmt w:val="bullet"/>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4D4D5A0E"/>
    <w:multiLevelType w:val="hybridMultilevel"/>
    <w:tmpl w:val="14C0671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380B60"/>
    <w:multiLevelType w:val="hybridMultilevel"/>
    <w:tmpl w:val="2FECE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7AC236A"/>
    <w:multiLevelType w:val="hybridMultilevel"/>
    <w:tmpl w:val="B536765A"/>
    <w:lvl w:ilvl="0" w:tplc="D00E2F30">
      <w:numFmt w:val="bullet"/>
      <w:lvlText w:val="-"/>
      <w:lvlJc w:val="left"/>
      <w:pPr>
        <w:ind w:left="742" w:hanging="360"/>
      </w:pPr>
      <w:rPr>
        <w:rFonts w:ascii="Calibri" w:eastAsiaTheme="minorHAnsi" w:hAnsi="Calibri" w:cs="Calibri"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16">
    <w:nsid w:val="5DAE1882"/>
    <w:multiLevelType w:val="hybridMultilevel"/>
    <w:tmpl w:val="D06C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4E2AE6"/>
    <w:multiLevelType w:val="hybridMultilevel"/>
    <w:tmpl w:val="E7648A8C"/>
    <w:lvl w:ilvl="0" w:tplc="11541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A6113"/>
    <w:multiLevelType w:val="hybridMultilevel"/>
    <w:tmpl w:val="C39E35B2"/>
    <w:lvl w:ilvl="0" w:tplc="7B8E753E">
      <w:start w:val="1"/>
      <w:numFmt w:val="lowerRoman"/>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93953"/>
    <w:multiLevelType w:val="hybridMultilevel"/>
    <w:tmpl w:val="A412E086"/>
    <w:lvl w:ilvl="0" w:tplc="041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AC11EA4"/>
    <w:multiLevelType w:val="hybridMultilevel"/>
    <w:tmpl w:val="B7805454"/>
    <w:lvl w:ilvl="0" w:tplc="AD24F0FC">
      <w:numFmt w:val="bullet"/>
      <w:lvlText w:val="•"/>
      <w:lvlJc w:val="left"/>
      <w:pPr>
        <w:ind w:left="1079" w:hanging="37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4"/>
  </w:num>
  <w:num w:numId="2">
    <w:abstractNumId w:val="11"/>
  </w:num>
  <w:num w:numId="3">
    <w:abstractNumId w:val="1"/>
  </w:num>
  <w:num w:numId="4">
    <w:abstractNumId w:val="4"/>
  </w:num>
  <w:num w:numId="5">
    <w:abstractNumId w:val="20"/>
  </w:num>
  <w:num w:numId="6">
    <w:abstractNumId w:val="5"/>
  </w:num>
  <w:num w:numId="7">
    <w:abstractNumId w:val="3"/>
  </w:num>
  <w:num w:numId="8">
    <w:abstractNumId w:val="13"/>
  </w:num>
  <w:num w:numId="9">
    <w:abstractNumId w:val="15"/>
  </w:num>
  <w:num w:numId="10">
    <w:abstractNumId w:val="0"/>
  </w:num>
  <w:num w:numId="11">
    <w:abstractNumId w:val="6"/>
  </w:num>
  <w:num w:numId="12">
    <w:abstractNumId w:val="8"/>
  </w:num>
  <w:num w:numId="13">
    <w:abstractNumId w:val="12"/>
  </w:num>
  <w:num w:numId="14">
    <w:abstractNumId w:val="19"/>
  </w:num>
  <w:num w:numId="15">
    <w:abstractNumId w:val="16"/>
  </w:num>
  <w:num w:numId="16">
    <w:abstractNumId w:val="10"/>
  </w:num>
  <w:num w:numId="17">
    <w:abstractNumId w:val="9"/>
  </w:num>
  <w:num w:numId="18">
    <w:abstractNumId w:val="2"/>
  </w:num>
  <w:num w:numId="19">
    <w:abstractNumId w:val="17"/>
  </w:num>
  <w:num w:numId="20">
    <w:abstractNumId w:val="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8F8"/>
    <w:rsid w:val="000006EB"/>
    <w:rsid w:val="00001ABF"/>
    <w:rsid w:val="00006C84"/>
    <w:rsid w:val="0001128B"/>
    <w:rsid w:val="00016991"/>
    <w:rsid w:val="00021EC2"/>
    <w:rsid w:val="00022B28"/>
    <w:rsid w:val="00033789"/>
    <w:rsid w:val="00041477"/>
    <w:rsid w:val="00042025"/>
    <w:rsid w:val="000445B6"/>
    <w:rsid w:val="00044F8E"/>
    <w:rsid w:val="0005088A"/>
    <w:rsid w:val="00054B65"/>
    <w:rsid w:val="000556BD"/>
    <w:rsid w:val="000576F6"/>
    <w:rsid w:val="00063297"/>
    <w:rsid w:val="000635E2"/>
    <w:rsid w:val="00063B34"/>
    <w:rsid w:val="000641A4"/>
    <w:rsid w:val="00071795"/>
    <w:rsid w:val="0007182A"/>
    <w:rsid w:val="0008324C"/>
    <w:rsid w:val="00085704"/>
    <w:rsid w:val="00090E4F"/>
    <w:rsid w:val="00096D20"/>
    <w:rsid w:val="000976E0"/>
    <w:rsid w:val="000A7678"/>
    <w:rsid w:val="000B6A0F"/>
    <w:rsid w:val="000C6FC7"/>
    <w:rsid w:val="000E105B"/>
    <w:rsid w:val="000E27D7"/>
    <w:rsid w:val="000F6C37"/>
    <w:rsid w:val="000F6C68"/>
    <w:rsid w:val="00105DB7"/>
    <w:rsid w:val="00111D84"/>
    <w:rsid w:val="00113AA5"/>
    <w:rsid w:val="0011590D"/>
    <w:rsid w:val="00121D3C"/>
    <w:rsid w:val="0012438F"/>
    <w:rsid w:val="00130E23"/>
    <w:rsid w:val="0013229D"/>
    <w:rsid w:val="00142541"/>
    <w:rsid w:val="0014283D"/>
    <w:rsid w:val="00150840"/>
    <w:rsid w:val="0015157A"/>
    <w:rsid w:val="001564A9"/>
    <w:rsid w:val="00157FDE"/>
    <w:rsid w:val="00160541"/>
    <w:rsid w:val="001618EE"/>
    <w:rsid w:val="001632D8"/>
    <w:rsid w:val="00173181"/>
    <w:rsid w:val="001912A0"/>
    <w:rsid w:val="0019159A"/>
    <w:rsid w:val="001927F2"/>
    <w:rsid w:val="001953C7"/>
    <w:rsid w:val="00195480"/>
    <w:rsid w:val="001A0A3E"/>
    <w:rsid w:val="001B0748"/>
    <w:rsid w:val="001B18DE"/>
    <w:rsid w:val="001B511E"/>
    <w:rsid w:val="001D1115"/>
    <w:rsid w:val="001D5A3C"/>
    <w:rsid w:val="001E408B"/>
    <w:rsid w:val="0020111C"/>
    <w:rsid w:val="00202BF5"/>
    <w:rsid w:val="00226ED6"/>
    <w:rsid w:val="002312EE"/>
    <w:rsid w:val="002313DB"/>
    <w:rsid w:val="00236631"/>
    <w:rsid w:val="00260658"/>
    <w:rsid w:val="0026389C"/>
    <w:rsid w:val="00267CF4"/>
    <w:rsid w:val="002703B9"/>
    <w:rsid w:val="00271F44"/>
    <w:rsid w:val="002742BB"/>
    <w:rsid w:val="00282EAA"/>
    <w:rsid w:val="002864A4"/>
    <w:rsid w:val="002871F1"/>
    <w:rsid w:val="002924A1"/>
    <w:rsid w:val="0029683C"/>
    <w:rsid w:val="00297917"/>
    <w:rsid w:val="002A3D25"/>
    <w:rsid w:val="002A4865"/>
    <w:rsid w:val="002A55B5"/>
    <w:rsid w:val="002B3BFC"/>
    <w:rsid w:val="002B6F66"/>
    <w:rsid w:val="002D1146"/>
    <w:rsid w:val="002D274F"/>
    <w:rsid w:val="002D365E"/>
    <w:rsid w:val="002E1CCA"/>
    <w:rsid w:val="002E2AC6"/>
    <w:rsid w:val="002E51D9"/>
    <w:rsid w:val="002F006E"/>
    <w:rsid w:val="002F5B20"/>
    <w:rsid w:val="00300B01"/>
    <w:rsid w:val="003022A7"/>
    <w:rsid w:val="00302594"/>
    <w:rsid w:val="00307CA0"/>
    <w:rsid w:val="00311662"/>
    <w:rsid w:val="00314F19"/>
    <w:rsid w:val="00315C46"/>
    <w:rsid w:val="00315DB8"/>
    <w:rsid w:val="00321EDE"/>
    <w:rsid w:val="00321EE7"/>
    <w:rsid w:val="003438D0"/>
    <w:rsid w:val="00347176"/>
    <w:rsid w:val="00347544"/>
    <w:rsid w:val="00347ACD"/>
    <w:rsid w:val="00354AE1"/>
    <w:rsid w:val="003627A7"/>
    <w:rsid w:val="00365F6C"/>
    <w:rsid w:val="00386049"/>
    <w:rsid w:val="003A6E56"/>
    <w:rsid w:val="003B38CB"/>
    <w:rsid w:val="003B78B9"/>
    <w:rsid w:val="003C0DE5"/>
    <w:rsid w:val="003C16A0"/>
    <w:rsid w:val="003C1FCD"/>
    <w:rsid w:val="003C453C"/>
    <w:rsid w:val="003D46B6"/>
    <w:rsid w:val="003D6235"/>
    <w:rsid w:val="003D6D34"/>
    <w:rsid w:val="003D7D92"/>
    <w:rsid w:val="003E26B7"/>
    <w:rsid w:val="003E426C"/>
    <w:rsid w:val="00401562"/>
    <w:rsid w:val="00402B84"/>
    <w:rsid w:val="00405DBE"/>
    <w:rsid w:val="00406629"/>
    <w:rsid w:val="004207F2"/>
    <w:rsid w:val="00422246"/>
    <w:rsid w:val="00425444"/>
    <w:rsid w:val="00442F97"/>
    <w:rsid w:val="004444C6"/>
    <w:rsid w:val="00446045"/>
    <w:rsid w:val="00461F15"/>
    <w:rsid w:val="00474AF7"/>
    <w:rsid w:val="00477A6F"/>
    <w:rsid w:val="0048091A"/>
    <w:rsid w:val="00480DCA"/>
    <w:rsid w:val="00481FD8"/>
    <w:rsid w:val="0048487F"/>
    <w:rsid w:val="00485C4E"/>
    <w:rsid w:val="0049222C"/>
    <w:rsid w:val="004A3228"/>
    <w:rsid w:val="004B5D3B"/>
    <w:rsid w:val="004C101F"/>
    <w:rsid w:val="004C4AA0"/>
    <w:rsid w:val="004C7B5B"/>
    <w:rsid w:val="004D2CB7"/>
    <w:rsid w:val="004D3530"/>
    <w:rsid w:val="004E3F1A"/>
    <w:rsid w:val="004E79A7"/>
    <w:rsid w:val="0050287D"/>
    <w:rsid w:val="00502D09"/>
    <w:rsid w:val="00503A4D"/>
    <w:rsid w:val="005054F7"/>
    <w:rsid w:val="0050576F"/>
    <w:rsid w:val="005122C4"/>
    <w:rsid w:val="00521C7B"/>
    <w:rsid w:val="0053364C"/>
    <w:rsid w:val="005357CC"/>
    <w:rsid w:val="00540DEC"/>
    <w:rsid w:val="00545157"/>
    <w:rsid w:val="00552039"/>
    <w:rsid w:val="0055271C"/>
    <w:rsid w:val="00553F8E"/>
    <w:rsid w:val="005578D0"/>
    <w:rsid w:val="00562A53"/>
    <w:rsid w:val="00564A56"/>
    <w:rsid w:val="00581CF5"/>
    <w:rsid w:val="005844C9"/>
    <w:rsid w:val="00590C1A"/>
    <w:rsid w:val="005923DF"/>
    <w:rsid w:val="005947D3"/>
    <w:rsid w:val="005A6425"/>
    <w:rsid w:val="005B276D"/>
    <w:rsid w:val="005B3657"/>
    <w:rsid w:val="005C08EF"/>
    <w:rsid w:val="005E26E4"/>
    <w:rsid w:val="005E3107"/>
    <w:rsid w:val="005E35E8"/>
    <w:rsid w:val="005E793D"/>
    <w:rsid w:val="006261A5"/>
    <w:rsid w:val="00632686"/>
    <w:rsid w:val="00637D71"/>
    <w:rsid w:val="00641132"/>
    <w:rsid w:val="00643533"/>
    <w:rsid w:val="00645322"/>
    <w:rsid w:val="006504A2"/>
    <w:rsid w:val="00653257"/>
    <w:rsid w:val="0065592B"/>
    <w:rsid w:val="0065600B"/>
    <w:rsid w:val="00662FEE"/>
    <w:rsid w:val="00664F42"/>
    <w:rsid w:val="00670C5D"/>
    <w:rsid w:val="006725D7"/>
    <w:rsid w:val="00675523"/>
    <w:rsid w:val="00682C5D"/>
    <w:rsid w:val="0069442F"/>
    <w:rsid w:val="0069704F"/>
    <w:rsid w:val="006B49CB"/>
    <w:rsid w:val="006C4FB9"/>
    <w:rsid w:val="006C5168"/>
    <w:rsid w:val="006C6DF8"/>
    <w:rsid w:val="006D53BB"/>
    <w:rsid w:val="006D5DD6"/>
    <w:rsid w:val="006D6939"/>
    <w:rsid w:val="006E601F"/>
    <w:rsid w:val="006E744E"/>
    <w:rsid w:val="006E7C04"/>
    <w:rsid w:val="00701748"/>
    <w:rsid w:val="00714B26"/>
    <w:rsid w:val="00724342"/>
    <w:rsid w:val="007270D3"/>
    <w:rsid w:val="0072760B"/>
    <w:rsid w:val="00727F09"/>
    <w:rsid w:val="00736E73"/>
    <w:rsid w:val="0074184A"/>
    <w:rsid w:val="007512BB"/>
    <w:rsid w:val="007513D4"/>
    <w:rsid w:val="00762BA6"/>
    <w:rsid w:val="0076766C"/>
    <w:rsid w:val="00767F02"/>
    <w:rsid w:val="007731EF"/>
    <w:rsid w:val="0078549D"/>
    <w:rsid w:val="007855F4"/>
    <w:rsid w:val="007902CC"/>
    <w:rsid w:val="00795A8F"/>
    <w:rsid w:val="007A0B9C"/>
    <w:rsid w:val="007A31C5"/>
    <w:rsid w:val="007B4B68"/>
    <w:rsid w:val="007B78AE"/>
    <w:rsid w:val="007C3A0F"/>
    <w:rsid w:val="007C428B"/>
    <w:rsid w:val="007C6107"/>
    <w:rsid w:val="007D14D0"/>
    <w:rsid w:val="007D48A3"/>
    <w:rsid w:val="007E4B05"/>
    <w:rsid w:val="007F0D78"/>
    <w:rsid w:val="007F18F0"/>
    <w:rsid w:val="007F209F"/>
    <w:rsid w:val="00804B8D"/>
    <w:rsid w:val="008076DD"/>
    <w:rsid w:val="00813CB4"/>
    <w:rsid w:val="008207D6"/>
    <w:rsid w:val="008254AE"/>
    <w:rsid w:val="00825958"/>
    <w:rsid w:val="00844FDB"/>
    <w:rsid w:val="00845D0E"/>
    <w:rsid w:val="0084658F"/>
    <w:rsid w:val="008634AC"/>
    <w:rsid w:val="00865AAF"/>
    <w:rsid w:val="00873AA7"/>
    <w:rsid w:val="00875F9E"/>
    <w:rsid w:val="00881304"/>
    <w:rsid w:val="008867FC"/>
    <w:rsid w:val="008908BB"/>
    <w:rsid w:val="008A03FD"/>
    <w:rsid w:val="008A1627"/>
    <w:rsid w:val="008A2056"/>
    <w:rsid w:val="008A4851"/>
    <w:rsid w:val="008B0D37"/>
    <w:rsid w:val="008B367E"/>
    <w:rsid w:val="008B3BCB"/>
    <w:rsid w:val="008C6838"/>
    <w:rsid w:val="008D0404"/>
    <w:rsid w:val="008D367D"/>
    <w:rsid w:val="008E5D9D"/>
    <w:rsid w:val="008F2261"/>
    <w:rsid w:val="008F61FD"/>
    <w:rsid w:val="00902366"/>
    <w:rsid w:val="00902A87"/>
    <w:rsid w:val="00913B35"/>
    <w:rsid w:val="009228B6"/>
    <w:rsid w:val="00923962"/>
    <w:rsid w:val="00927111"/>
    <w:rsid w:val="009419DF"/>
    <w:rsid w:val="00941D79"/>
    <w:rsid w:val="00944512"/>
    <w:rsid w:val="00973648"/>
    <w:rsid w:val="009756E1"/>
    <w:rsid w:val="00976991"/>
    <w:rsid w:val="009845F8"/>
    <w:rsid w:val="009939D0"/>
    <w:rsid w:val="009946CE"/>
    <w:rsid w:val="0099677B"/>
    <w:rsid w:val="009A23B0"/>
    <w:rsid w:val="009B6651"/>
    <w:rsid w:val="009C4269"/>
    <w:rsid w:val="009C4BB1"/>
    <w:rsid w:val="009E5318"/>
    <w:rsid w:val="009E572F"/>
    <w:rsid w:val="009F0DE0"/>
    <w:rsid w:val="009F256B"/>
    <w:rsid w:val="009F2C07"/>
    <w:rsid w:val="00A03D5D"/>
    <w:rsid w:val="00A061FB"/>
    <w:rsid w:val="00A077E6"/>
    <w:rsid w:val="00A12B71"/>
    <w:rsid w:val="00A22C9D"/>
    <w:rsid w:val="00A36E4B"/>
    <w:rsid w:val="00A378EE"/>
    <w:rsid w:val="00A42666"/>
    <w:rsid w:val="00A43CD9"/>
    <w:rsid w:val="00A43F96"/>
    <w:rsid w:val="00A448A7"/>
    <w:rsid w:val="00A50B10"/>
    <w:rsid w:val="00A62D07"/>
    <w:rsid w:val="00A67590"/>
    <w:rsid w:val="00A70CDD"/>
    <w:rsid w:val="00A75A9E"/>
    <w:rsid w:val="00A7638C"/>
    <w:rsid w:val="00A77BB1"/>
    <w:rsid w:val="00A80085"/>
    <w:rsid w:val="00A851D0"/>
    <w:rsid w:val="00A87658"/>
    <w:rsid w:val="00A90273"/>
    <w:rsid w:val="00A92BFC"/>
    <w:rsid w:val="00A93958"/>
    <w:rsid w:val="00AA0C3E"/>
    <w:rsid w:val="00AB02E9"/>
    <w:rsid w:val="00AD0C95"/>
    <w:rsid w:val="00AD1E3C"/>
    <w:rsid w:val="00AD371E"/>
    <w:rsid w:val="00AE4488"/>
    <w:rsid w:val="00AF1190"/>
    <w:rsid w:val="00AF2A77"/>
    <w:rsid w:val="00AF59C3"/>
    <w:rsid w:val="00AF6A62"/>
    <w:rsid w:val="00B0046D"/>
    <w:rsid w:val="00B028F8"/>
    <w:rsid w:val="00B031A8"/>
    <w:rsid w:val="00B21711"/>
    <w:rsid w:val="00B610B1"/>
    <w:rsid w:val="00B635FE"/>
    <w:rsid w:val="00B654C8"/>
    <w:rsid w:val="00B6654E"/>
    <w:rsid w:val="00B67AD5"/>
    <w:rsid w:val="00B67ADD"/>
    <w:rsid w:val="00B7139A"/>
    <w:rsid w:val="00B76528"/>
    <w:rsid w:val="00B7673C"/>
    <w:rsid w:val="00B831A2"/>
    <w:rsid w:val="00B84D63"/>
    <w:rsid w:val="00B867D2"/>
    <w:rsid w:val="00B94200"/>
    <w:rsid w:val="00BB5865"/>
    <w:rsid w:val="00BC3852"/>
    <w:rsid w:val="00BD7577"/>
    <w:rsid w:val="00BE1936"/>
    <w:rsid w:val="00BE1D9B"/>
    <w:rsid w:val="00BE2C22"/>
    <w:rsid w:val="00BE2DA9"/>
    <w:rsid w:val="00BE4D39"/>
    <w:rsid w:val="00BF39AC"/>
    <w:rsid w:val="00BF5F82"/>
    <w:rsid w:val="00C1226D"/>
    <w:rsid w:val="00C1369C"/>
    <w:rsid w:val="00C14261"/>
    <w:rsid w:val="00C162D5"/>
    <w:rsid w:val="00C22118"/>
    <w:rsid w:val="00C32C89"/>
    <w:rsid w:val="00C51B38"/>
    <w:rsid w:val="00C54AEE"/>
    <w:rsid w:val="00C55825"/>
    <w:rsid w:val="00C641A9"/>
    <w:rsid w:val="00C700E8"/>
    <w:rsid w:val="00C72ECA"/>
    <w:rsid w:val="00CB2467"/>
    <w:rsid w:val="00CB5252"/>
    <w:rsid w:val="00CB63DC"/>
    <w:rsid w:val="00CB674A"/>
    <w:rsid w:val="00CC1476"/>
    <w:rsid w:val="00CD0C4B"/>
    <w:rsid w:val="00CE0A7D"/>
    <w:rsid w:val="00CE4915"/>
    <w:rsid w:val="00CE76D1"/>
    <w:rsid w:val="00CF2BF4"/>
    <w:rsid w:val="00D01508"/>
    <w:rsid w:val="00D0179D"/>
    <w:rsid w:val="00D02275"/>
    <w:rsid w:val="00D06718"/>
    <w:rsid w:val="00D06B40"/>
    <w:rsid w:val="00D14E83"/>
    <w:rsid w:val="00D17DAD"/>
    <w:rsid w:val="00D20CCA"/>
    <w:rsid w:val="00D21A06"/>
    <w:rsid w:val="00D312D5"/>
    <w:rsid w:val="00D31E0F"/>
    <w:rsid w:val="00D34BB0"/>
    <w:rsid w:val="00D36B48"/>
    <w:rsid w:val="00D469D0"/>
    <w:rsid w:val="00D502EE"/>
    <w:rsid w:val="00D572F9"/>
    <w:rsid w:val="00D60D4C"/>
    <w:rsid w:val="00D64F25"/>
    <w:rsid w:val="00D75071"/>
    <w:rsid w:val="00D77650"/>
    <w:rsid w:val="00D82484"/>
    <w:rsid w:val="00D82E3A"/>
    <w:rsid w:val="00D865EE"/>
    <w:rsid w:val="00D915A6"/>
    <w:rsid w:val="00D965B7"/>
    <w:rsid w:val="00DA09EF"/>
    <w:rsid w:val="00DA0C19"/>
    <w:rsid w:val="00DA26E3"/>
    <w:rsid w:val="00DA371C"/>
    <w:rsid w:val="00DB70FD"/>
    <w:rsid w:val="00DC1C7A"/>
    <w:rsid w:val="00DC3755"/>
    <w:rsid w:val="00DD2C10"/>
    <w:rsid w:val="00DD5855"/>
    <w:rsid w:val="00DE14E3"/>
    <w:rsid w:val="00DF4101"/>
    <w:rsid w:val="00E01AB9"/>
    <w:rsid w:val="00E06118"/>
    <w:rsid w:val="00E10AC4"/>
    <w:rsid w:val="00E1156B"/>
    <w:rsid w:val="00E15EB6"/>
    <w:rsid w:val="00E1682E"/>
    <w:rsid w:val="00E2252E"/>
    <w:rsid w:val="00E232C5"/>
    <w:rsid w:val="00E302B4"/>
    <w:rsid w:val="00E32EAC"/>
    <w:rsid w:val="00E41A5E"/>
    <w:rsid w:val="00E50604"/>
    <w:rsid w:val="00E5346F"/>
    <w:rsid w:val="00E6446D"/>
    <w:rsid w:val="00E6661C"/>
    <w:rsid w:val="00E6790C"/>
    <w:rsid w:val="00E7473D"/>
    <w:rsid w:val="00E769AD"/>
    <w:rsid w:val="00E8067D"/>
    <w:rsid w:val="00E864B4"/>
    <w:rsid w:val="00E93C81"/>
    <w:rsid w:val="00EA17E4"/>
    <w:rsid w:val="00EA3DB0"/>
    <w:rsid w:val="00EA7748"/>
    <w:rsid w:val="00EB1339"/>
    <w:rsid w:val="00EB618D"/>
    <w:rsid w:val="00EC1BAB"/>
    <w:rsid w:val="00ED27A4"/>
    <w:rsid w:val="00ED6796"/>
    <w:rsid w:val="00EE18C2"/>
    <w:rsid w:val="00EE2C20"/>
    <w:rsid w:val="00EE34A0"/>
    <w:rsid w:val="00EE396C"/>
    <w:rsid w:val="00EF6C45"/>
    <w:rsid w:val="00F005CB"/>
    <w:rsid w:val="00F13220"/>
    <w:rsid w:val="00F15B93"/>
    <w:rsid w:val="00F17D63"/>
    <w:rsid w:val="00F23CD8"/>
    <w:rsid w:val="00F242BF"/>
    <w:rsid w:val="00F3275F"/>
    <w:rsid w:val="00F450CB"/>
    <w:rsid w:val="00F46E11"/>
    <w:rsid w:val="00F53305"/>
    <w:rsid w:val="00F56988"/>
    <w:rsid w:val="00F63E89"/>
    <w:rsid w:val="00F65DBF"/>
    <w:rsid w:val="00F717CF"/>
    <w:rsid w:val="00F71A0A"/>
    <w:rsid w:val="00F72AAE"/>
    <w:rsid w:val="00F73772"/>
    <w:rsid w:val="00F73D24"/>
    <w:rsid w:val="00F75D2A"/>
    <w:rsid w:val="00F76C42"/>
    <w:rsid w:val="00F840BB"/>
    <w:rsid w:val="00F86126"/>
    <w:rsid w:val="00F87F38"/>
    <w:rsid w:val="00F90C08"/>
    <w:rsid w:val="00F9148E"/>
    <w:rsid w:val="00F97099"/>
    <w:rsid w:val="00FA01AC"/>
    <w:rsid w:val="00FB1D2A"/>
    <w:rsid w:val="00FB341D"/>
    <w:rsid w:val="00FB64D7"/>
    <w:rsid w:val="00FB7223"/>
    <w:rsid w:val="00FC2D9E"/>
    <w:rsid w:val="00FC6057"/>
    <w:rsid w:val="00FD4ED0"/>
    <w:rsid w:val="00FE45D8"/>
    <w:rsid w:val="00FE6AC8"/>
    <w:rsid w:val="00FE7BD9"/>
    <w:rsid w:val="00FF3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DF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F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8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28F8"/>
    <w:rPr>
      <w:lang w:val="ro-RO"/>
    </w:rPr>
  </w:style>
  <w:style w:type="paragraph" w:styleId="Footer">
    <w:name w:val="footer"/>
    <w:basedOn w:val="Normal"/>
    <w:link w:val="FooterChar"/>
    <w:uiPriority w:val="99"/>
    <w:unhideWhenUsed/>
    <w:rsid w:val="00B028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28F8"/>
    <w:rPr>
      <w:lang w:val="ro-RO"/>
    </w:rPr>
  </w:style>
  <w:style w:type="table" w:styleId="TableGrid">
    <w:name w:val="Table Grid"/>
    <w:basedOn w:val="TableNormal"/>
    <w:uiPriority w:val="39"/>
    <w:rsid w:val="00B028F8"/>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71795"/>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071795"/>
    <w:rPr>
      <w:rFonts w:ascii="Calibri" w:eastAsia="Calibri" w:hAnsi="Calibri" w:cs="Times New Roman"/>
      <w:sz w:val="20"/>
      <w:szCs w:val="20"/>
    </w:rPr>
  </w:style>
  <w:style w:type="character" w:styleId="FootnoteReference">
    <w:name w:val="footnote reference"/>
    <w:semiHidden/>
    <w:rsid w:val="00071795"/>
    <w:rPr>
      <w:vertAlign w:val="superscript"/>
    </w:rPr>
  </w:style>
  <w:style w:type="paragraph" w:styleId="BalloonText">
    <w:name w:val="Balloon Text"/>
    <w:basedOn w:val="Normal"/>
    <w:link w:val="BalloonTextChar"/>
    <w:uiPriority w:val="99"/>
    <w:semiHidden/>
    <w:unhideWhenUsed/>
    <w:rsid w:val="00B8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D2"/>
    <w:rPr>
      <w:rFonts w:ascii="Segoe UI" w:hAnsi="Segoe UI" w:cs="Segoe UI"/>
      <w:sz w:val="18"/>
      <w:szCs w:val="18"/>
      <w:lang w:val="ro-RO"/>
    </w:rPr>
  </w:style>
  <w:style w:type="paragraph" w:styleId="ListParagraph">
    <w:name w:val="List Paragraph"/>
    <w:basedOn w:val="Normal"/>
    <w:uiPriority w:val="34"/>
    <w:qFormat/>
    <w:rsid w:val="004444C6"/>
    <w:pPr>
      <w:ind w:left="720"/>
      <w:contextualSpacing/>
    </w:pPr>
  </w:style>
  <w:style w:type="character" w:styleId="CommentReference">
    <w:name w:val="annotation reference"/>
    <w:basedOn w:val="DefaultParagraphFont"/>
    <w:uiPriority w:val="99"/>
    <w:semiHidden/>
    <w:unhideWhenUsed/>
    <w:rsid w:val="005E26E4"/>
    <w:rPr>
      <w:sz w:val="16"/>
      <w:szCs w:val="16"/>
    </w:rPr>
  </w:style>
  <w:style w:type="paragraph" w:styleId="CommentText">
    <w:name w:val="annotation text"/>
    <w:basedOn w:val="Normal"/>
    <w:link w:val="CommentTextChar"/>
    <w:uiPriority w:val="99"/>
    <w:semiHidden/>
    <w:unhideWhenUsed/>
    <w:rsid w:val="005E26E4"/>
    <w:pPr>
      <w:spacing w:line="240" w:lineRule="auto"/>
    </w:pPr>
    <w:rPr>
      <w:sz w:val="20"/>
      <w:szCs w:val="20"/>
    </w:rPr>
  </w:style>
  <w:style w:type="character" w:customStyle="1" w:styleId="CommentTextChar">
    <w:name w:val="Comment Text Char"/>
    <w:basedOn w:val="DefaultParagraphFont"/>
    <w:link w:val="CommentText"/>
    <w:uiPriority w:val="99"/>
    <w:semiHidden/>
    <w:rsid w:val="005E26E4"/>
    <w:rPr>
      <w:sz w:val="20"/>
      <w:szCs w:val="20"/>
      <w:lang w:val="ro-RO"/>
    </w:rPr>
  </w:style>
  <w:style w:type="paragraph" w:styleId="CommentSubject">
    <w:name w:val="annotation subject"/>
    <w:basedOn w:val="CommentText"/>
    <w:next w:val="CommentText"/>
    <w:link w:val="CommentSubjectChar"/>
    <w:uiPriority w:val="99"/>
    <w:semiHidden/>
    <w:unhideWhenUsed/>
    <w:rsid w:val="005E26E4"/>
    <w:rPr>
      <w:b/>
      <w:bCs/>
    </w:rPr>
  </w:style>
  <w:style w:type="character" w:customStyle="1" w:styleId="CommentSubjectChar">
    <w:name w:val="Comment Subject Char"/>
    <w:basedOn w:val="CommentTextChar"/>
    <w:link w:val="CommentSubject"/>
    <w:uiPriority w:val="99"/>
    <w:semiHidden/>
    <w:rsid w:val="005E26E4"/>
    <w:rPr>
      <w:b/>
      <w:bCs/>
      <w:sz w:val="20"/>
      <w:szCs w:val="20"/>
      <w:lang w:val="ro-RO"/>
    </w:rPr>
  </w:style>
  <w:style w:type="character" w:styleId="Hyperlink">
    <w:name w:val="Hyperlink"/>
    <w:basedOn w:val="DefaultParagraphFont"/>
    <w:uiPriority w:val="99"/>
    <w:unhideWhenUsed/>
    <w:rsid w:val="00795A8F"/>
    <w:rPr>
      <w:color w:val="0563C1" w:themeColor="hyperlink"/>
      <w:u w:val="single"/>
    </w:rPr>
  </w:style>
  <w:style w:type="character" w:customStyle="1" w:styleId="MeniuneNerezolvat1">
    <w:name w:val="Mențiune Nerezolvat1"/>
    <w:basedOn w:val="DefaultParagraphFont"/>
    <w:uiPriority w:val="99"/>
    <w:semiHidden/>
    <w:unhideWhenUsed/>
    <w:rsid w:val="00795A8F"/>
    <w:rPr>
      <w:color w:val="605E5C"/>
      <w:shd w:val="clear" w:color="auto" w:fill="E1DFDD"/>
    </w:rPr>
  </w:style>
  <w:style w:type="table" w:customStyle="1" w:styleId="Tabelgril1">
    <w:name w:val="Tabel grilă1"/>
    <w:basedOn w:val="TableNormal"/>
    <w:next w:val="TableGrid"/>
    <w:uiPriority w:val="59"/>
    <w:rsid w:val="0069704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F8"/>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8F8"/>
    <w:pPr>
      <w:tabs>
        <w:tab w:val="center" w:pos="4703"/>
        <w:tab w:val="right" w:pos="9406"/>
      </w:tabs>
      <w:spacing w:after="0" w:line="240" w:lineRule="auto"/>
    </w:pPr>
  </w:style>
  <w:style w:type="character" w:customStyle="1" w:styleId="HeaderChar">
    <w:name w:val="Header Char"/>
    <w:basedOn w:val="DefaultParagraphFont"/>
    <w:link w:val="Header"/>
    <w:uiPriority w:val="99"/>
    <w:rsid w:val="00B028F8"/>
    <w:rPr>
      <w:lang w:val="ro-RO"/>
    </w:rPr>
  </w:style>
  <w:style w:type="paragraph" w:styleId="Footer">
    <w:name w:val="footer"/>
    <w:basedOn w:val="Normal"/>
    <w:link w:val="FooterChar"/>
    <w:uiPriority w:val="99"/>
    <w:unhideWhenUsed/>
    <w:rsid w:val="00B028F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028F8"/>
    <w:rPr>
      <w:lang w:val="ro-RO"/>
    </w:rPr>
  </w:style>
  <w:style w:type="table" w:styleId="TableGrid">
    <w:name w:val="Table Grid"/>
    <w:basedOn w:val="TableNormal"/>
    <w:uiPriority w:val="39"/>
    <w:rsid w:val="00B028F8"/>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071795"/>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071795"/>
    <w:rPr>
      <w:rFonts w:ascii="Calibri" w:eastAsia="Calibri" w:hAnsi="Calibri" w:cs="Times New Roman"/>
      <w:sz w:val="20"/>
      <w:szCs w:val="20"/>
    </w:rPr>
  </w:style>
  <w:style w:type="character" w:styleId="FootnoteReference">
    <w:name w:val="footnote reference"/>
    <w:semiHidden/>
    <w:rsid w:val="00071795"/>
    <w:rPr>
      <w:vertAlign w:val="superscript"/>
    </w:rPr>
  </w:style>
  <w:style w:type="paragraph" w:styleId="BalloonText">
    <w:name w:val="Balloon Text"/>
    <w:basedOn w:val="Normal"/>
    <w:link w:val="BalloonTextChar"/>
    <w:uiPriority w:val="99"/>
    <w:semiHidden/>
    <w:unhideWhenUsed/>
    <w:rsid w:val="00B86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7D2"/>
    <w:rPr>
      <w:rFonts w:ascii="Segoe UI" w:hAnsi="Segoe UI" w:cs="Segoe UI"/>
      <w:sz w:val="18"/>
      <w:szCs w:val="18"/>
      <w:lang w:val="ro-RO"/>
    </w:rPr>
  </w:style>
  <w:style w:type="paragraph" w:styleId="ListParagraph">
    <w:name w:val="List Paragraph"/>
    <w:basedOn w:val="Normal"/>
    <w:uiPriority w:val="34"/>
    <w:qFormat/>
    <w:rsid w:val="004444C6"/>
    <w:pPr>
      <w:ind w:left="720"/>
      <w:contextualSpacing/>
    </w:pPr>
  </w:style>
  <w:style w:type="character" w:styleId="CommentReference">
    <w:name w:val="annotation reference"/>
    <w:basedOn w:val="DefaultParagraphFont"/>
    <w:uiPriority w:val="99"/>
    <w:semiHidden/>
    <w:unhideWhenUsed/>
    <w:rsid w:val="005E26E4"/>
    <w:rPr>
      <w:sz w:val="16"/>
      <w:szCs w:val="16"/>
    </w:rPr>
  </w:style>
  <w:style w:type="paragraph" w:styleId="CommentText">
    <w:name w:val="annotation text"/>
    <w:basedOn w:val="Normal"/>
    <w:link w:val="CommentTextChar"/>
    <w:uiPriority w:val="99"/>
    <w:semiHidden/>
    <w:unhideWhenUsed/>
    <w:rsid w:val="005E26E4"/>
    <w:pPr>
      <w:spacing w:line="240" w:lineRule="auto"/>
    </w:pPr>
    <w:rPr>
      <w:sz w:val="20"/>
      <w:szCs w:val="20"/>
    </w:rPr>
  </w:style>
  <w:style w:type="character" w:customStyle="1" w:styleId="CommentTextChar">
    <w:name w:val="Comment Text Char"/>
    <w:basedOn w:val="DefaultParagraphFont"/>
    <w:link w:val="CommentText"/>
    <w:uiPriority w:val="99"/>
    <w:semiHidden/>
    <w:rsid w:val="005E26E4"/>
    <w:rPr>
      <w:sz w:val="20"/>
      <w:szCs w:val="20"/>
      <w:lang w:val="ro-RO"/>
    </w:rPr>
  </w:style>
  <w:style w:type="paragraph" w:styleId="CommentSubject">
    <w:name w:val="annotation subject"/>
    <w:basedOn w:val="CommentText"/>
    <w:next w:val="CommentText"/>
    <w:link w:val="CommentSubjectChar"/>
    <w:uiPriority w:val="99"/>
    <w:semiHidden/>
    <w:unhideWhenUsed/>
    <w:rsid w:val="005E26E4"/>
    <w:rPr>
      <w:b/>
      <w:bCs/>
    </w:rPr>
  </w:style>
  <w:style w:type="character" w:customStyle="1" w:styleId="CommentSubjectChar">
    <w:name w:val="Comment Subject Char"/>
    <w:basedOn w:val="CommentTextChar"/>
    <w:link w:val="CommentSubject"/>
    <w:uiPriority w:val="99"/>
    <w:semiHidden/>
    <w:rsid w:val="005E26E4"/>
    <w:rPr>
      <w:b/>
      <w:bCs/>
      <w:sz w:val="20"/>
      <w:szCs w:val="20"/>
      <w:lang w:val="ro-RO"/>
    </w:rPr>
  </w:style>
  <w:style w:type="character" w:styleId="Hyperlink">
    <w:name w:val="Hyperlink"/>
    <w:basedOn w:val="DefaultParagraphFont"/>
    <w:uiPriority w:val="99"/>
    <w:unhideWhenUsed/>
    <w:rsid w:val="00795A8F"/>
    <w:rPr>
      <w:color w:val="0563C1" w:themeColor="hyperlink"/>
      <w:u w:val="single"/>
    </w:rPr>
  </w:style>
  <w:style w:type="character" w:customStyle="1" w:styleId="MeniuneNerezolvat1">
    <w:name w:val="Mențiune Nerezolvat1"/>
    <w:basedOn w:val="DefaultParagraphFont"/>
    <w:uiPriority w:val="99"/>
    <w:semiHidden/>
    <w:unhideWhenUsed/>
    <w:rsid w:val="00795A8F"/>
    <w:rPr>
      <w:color w:val="605E5C"/>
      <w:shd w:val="clear" w:color="auto" w:fill="E1DFDD"/>
    </w:rPr>
  </w:style>
  <w:style w:type="table" w:customStyle="1" w:styleId="Tabelgril1">
    <w:name w:val="Tabel grilă1"/>
    <w:basedOn w:val="TableNormal"/>
    <w:next w:val="TableGrid"/>
    <w:uiPriority w:val="59"/>
    <w:rsid w:val="0069704F"/>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023936">
      <w:bodyDiv w:val="1"/>
      <w:marLeft w:val="0"/>
      <w:marRight w:val="0"/>
      <w:marTop w:val="0"/>
      <w:marBottom w:val="0"/>
      <w:divBdr>
        <w:top w:val="none" w:sz="0" w:space="0" w:color="auto"/>
        <w:left w:val="none" w:sz="0" w:space="0" w:color="auto"/>
        <w:bottom w:val="none" w:sz="0" w:space="0" w:color="auto"/>
        <w:right w:val="none" w:sz="0" w:space="0" w:color="auto"/>
      </w:divBdr>
    </w:div>
    <w:div w:id="1104836613">
      <w:bodyDiv w:val="1"/>
      <w:marLeft w:val="0"/>
      <w:marRight w:val="0"/>
      <w:marTop w:val="0"/>
      <w:marBottom w:val="0"/>
      <w:divBdr>
        <w:top w:val="none" w:sz="0" w:space="0" w:color="auto"/>
        <w:left w:val="none" w:sz="0" w:space="0" w:color="auto"/>
        <w:bottom w:val="none" w:sz="0" w:space="0" w:color="auto"/>
        <w:right w:val="none" w:sz="0" w:space="0" w:color="auto"/>
      </w:divBdr>
    </w:div>
    <w:div w:id="11223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8A292-533D-46FF-B212-E5F3305F3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5758</Words>
  <Characters>33397</Characters>
  <Application>Microsoft Office Word</Application>
  <DocSecurity>0</DocSecurity>
  <Lines>278</Lines>
  <Paragraphs>78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39077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CF</dc:creator>
  <cp:lastModifiedBy>Victor</cp:lastModifiedBy>
  <cp:revision>2</cp:revision>
  <cp:lastPrinted>2020-01-23T07:20:00Z</cp:lastPrinted>
  <dcterms:created xsi:type="dcterms:W3CDTF">2020-01-23T09:07:00Z</dcterms:created>
  <dcterms:modified xsi:type="dcterms:W3CDTF">2020-01-23T09:07:00Z</dcterms:modified>
</cp:coreProperties>
</file>