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802A" w14:textId="77777777" w:rsidR="00A87A83" w:rsidRPr="007C266E" w:rsidRDefault="000845FE" w:rsidP="00393588">
      <w:pPr>
        <w:tabs>
          <w:tab w:val="left" w:pos="90"/>
        </w:tabs>
        <w:spacing w:line="240" w:lineRule="auto"/>
        <w:jc w:val="right"/>
        <w:rPr>
          <w:rFonts w:ascii="Times New Roman" w:hAnsi="Times New Roman" w:cs="Times New Roman"/>
          <w:sz w:val="23"/>
          <w:szCs w:val="23"/>
          <w:lang w:val="ro-RO"/>
        </w:rPr>
      </w:pPr>
      <w:r w:rsidRPr="007C266E">
        <w:rPr>
          <w:rFonts w:ascii="Times New Roman" w:hAnsi="Times New Roman" w:cs="Times New Roman"/>
          <w:noProof/>
          <w:sz w:val="23"/>
          <w:szCs w:val="23"/>
        </w:rPr>
        <w:drawing>
          <wp:anchor distT="0" distB="0" distL="114300" distR="114300" simplePos="0" relativeHeight="251684864" behindDoc="0" locked="0" layoutInCell="1" allowOverlap="1" wp14:anchorId="7F028188" wp14:editId="1E304667">
            <wp:simplePos x="0" y="0"/>
            <wp:positionH relativeFrom="margin">
              <wp:posOffset>-60537</wp:posOffset>
            </wp:positionH>
            <wp:positionV relativeFrom="paragraph">
              <wp:posOffset>-439843</wp:posOffset>
            </wp:positionV>
            <wp:extent cx="5032586" cy="1138159"/>
            <wp:effectExtent l="0" t="0" r="0" b="5080"/>
            <wp:wrapNone/>
            <wp:docPr id="3" name="Picture 1" descr="E:\IDENTITATE.GOV.RO\Logo Ministere-20191111\Logo Ministere\6.MEEMA\logo MEEMA 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TATE.GOV.RO\Logo Ministere-20191111\Logo Ministere\6.MEEMA\logo MEEMA albastr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2586" cy="11381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9C9BD" w14:textId="77777777" w:rsidR="006E4C16" w:rsidRPr="007C266E" w:rsidRDefault="006E4C16" w:rsidP="00393588">
      <w:pPr>
        <w:spacing w:line="240" w:lineRule="auto"/>
        <w:rPr>
          <w:rFonts w:ascii="Times New Roman" w:hAnsi="Times New Roman" w:cs="Times New Roman"/>
          <w:sz w:val="23"/>
          <w:szCs w:val="23"/>
          <w:lang w:val="ro-RO"/>
        </w:rPr>
      </w:pPr>
    </w:p>
    <w:p w14:paraId="6DFD2283" w14:textId="77777777" w:rsidR="006E4C16" w:rsidRPr="007C266E" w:rsidRDefault="006E4C16" w:rsidP="00393588">
      <w:pPr>
        <w:spacing w:line="240" w:lineRule="auto"/>
        <w:rPr>
          <w:rFonts w:ascii="Times New Roman" w:hAnsi="Times New Roman" w:cs="Times New Roman"/>
          <w:sz w:val="23"/>
          <w:szCs w:val="23"/>
          <w:lang w:val="ro-RO"/>
        </w:rPr>
      </w:pPr>
    </w:p>
    <w:p w14:paraId="2321E70A" w14:textId="77777777" w:rsidR="006E4C16" w:rsidRPr="007C266E" w:rsidRDefault="006E4C16" w:rsidP="00393588">
      <w:pPr>
        <w:spacing w:line="240" w:lineRule="auto"/>
        <w:rPr>
          <w:rFonts w:ascii="Times New Roman" w:hAnsi="Times New Roman" w:cs="Times New Roman"/>
          <w:sz w:val="23"/>
          <w:szCs w:val="23"/>
          <w:lang w:val="ro-RO"/>
        </w:rPr>
      </w:pPr>
    </w:p>
    <w:sdt>
      <w:sdtPr>
        <w:rPr>
          <w:rFonts w:ascii="Times New Roman" w:eastAsiaTheme="majorEastAsia" w:hAnsi="Times New Roman" w:cs="Times New Roman"/>
          <w:caps/>
          <w:sz w:val="23"/>
          <w:szCs w:val="23"/>
          <w:lang w:val="ro-RO" w:eastAsia="en-US"/>
        </w:rPr>
        <w:id w:val="394779481"/>
        <w:docPartObj>
          <w:docPartGallery w:val="Cover Pages"/>
          <w:docPartUnique/>
        </w:docPartObj>
      </w:sdtPr>
      <w:sdtEndPr>
        <w:rPr>
          <w:rFonts w:eastAsiaTheme="minorHAnsi"/>
          <w:bCs/>
          <w:caps w:val="0"/>
        </w:rPr>
      </w:sdtEndPr>
      <w:sdtContent>
        <w:tbl>
          <w:tblPr>
            <w:tblW w:w="5000" w:type="pct"/>
            <w:jc w:val="center"/>
            <w:tblLook w:val="04A0" w:firstRow="1" w:lastRow="0" w:firstColumn="1" w:lastColumn="0" w:noHBand="0" w:noVBand="1"/>
          </w:tblPr>
          <w:tblGrid>
            <w:gridCol w:w="9360"/>
          </w:tblGrid>
          <w:tr w:rsidR="00271EFF" w:rsidRPr="007C266E" w14:paraId="03B24A4B" w14:textId="77777777">
            <w:trPr>
              <w:trHeight w:val="2880"/>
              <w:jc w:val="center"/>
            </w:trPr>
            <w:tc>
              <w:tcPr>
                <w:tcW w:w="5000" w:type="pct"/>
              </w:tcPr>
              <w:p w14:paraId="66A93064" w14:textId="77777777" w:rsidR="00271EFF" w:rsidRPr="007C266E" w:rsidRDefault="00271EFF" w:rsidP="006E1D2D">
                <w:pPr>
                  <w:pStyle w:val="NoSpacing"/>
                  <w:jc w:val="center"/>
                  <w:rPr>
                    <w:rFonts w:ascii="Times New Roman" w:eastAsiaTheme="majorEastAsia" w:hAnsi="Times New Roman" w:cs="Times New Roman"/>
                    <w:caps/>
                    <w:sz w:val="23"/>
                    <w:szCs w:val="23"/>
                    <w:lang w:val="ro-RO"/>
                  </w:rPr>
                </w:pPr>
              </w:p>
            </w:tc>
          </w:tr>
          <w:tr w:rsidR="00271EFF" w:rsidRPr="00E47896" w14:paraId="3CD1239F" w14:textId="77777777">
            <w:trPr>
              <w:trHeight w:val="1440"/>
              <w:jc w:val="center"/>
            </w:trPr>
            <w:tc>
              <w:tcPr>
                <w:tcW w:w="5000" w:type="pct"/>
                <w:tcBorders>
                  <w:bottom w:val="single" w:sz="4" w:space="0" w:color="4F81BD" w:themeColor="accent1"/>
                </w:tcBorders>
                <w:vAlign w:val="center"/>
              </w:tcPr>
              <w:p w14:paraId="69D8CA2E" w14:textId="77777777" w:rsidR="00271EFF" w:rsidRPr="00E47896" w:rsidRDefault="00271EFF" w:rsidP="006E1D2D">
                <w:pPr>
                  <w:pStyle w:val="NoSpacing"/>
                  <w:jc w:val="center"/>
                  <w:rPr>
                    <w:rFonts w:ascii="Times New Roman" w:eastAsiaTheme="majorEastAsia" w:hAnsi="Times New Roman" w:cs="Times New Roman"/>
                    <w:sz w:val="48"/>
                    <w:szCs w:val="48"/>
                    <w:lang w:val="ro-RO"/>
                  </w:rPr>
                </w:pPr>
                <w:bookmarkStart w:id="0" w:name="_GoBack"/>
                <w:r w:rsidRPr="00E47896">
                  <w:rPr>
                    <w:rFonts w:ascii="Times New Roman" w:eastAsiaTheme="majorEastAsia" w:hAnsi="Times New Roman" w:cs="Times New Roman"/>
                    <w:sz w:val="48"/>
                    <w:szCs w:val="48"/>
                    <w:lang w:val="ro-RO"/>
                  </w:rPr>
                  <w:t>Strategia energetică a României</w:t>
                </w:r>
                <w:r w:rsidR="007448B1" w:rsidRPr="00E47896">
                  <w:rPr>
                    <w:rFonts w:ascii="Times New Roman" w:eastAsiaTheme="majorEastAsia" w:hAnsi="Times New Roman" w:cs="Times New Roman"/>
                    <w:sz w:val="48"/>
                    <w:szCs w:val="48"/>
                    <w:lang w:val="ro-RO"/>
                  </w:rPr>
                  <w:t xml:space="preserve"> </w:t>
                </w:r>
                <w:r w:rsidR="007327E2" w:rsidRPr="00E47896">
                  <w:rPr>
                    <w:rFonts w:ascii="Times New Roman" w:eastAsiaTheme="majorEastAsia" w:hAnsi="Times New Roman" w:cs="Times New Roman"/>
                    <w:sz w:val="48"/>
                    <w:szCs w:val="48"/>
                    <w:lang w:val="ro-RO"/>
                  </w:rPr>
                  <w:t>2020</w:t>
                </w:r>
                <w:r w:rsidR="00C1127A" w:rsidRPr="00E47896">
                  <w:rPr>
                    <w:rFonts w:ascii="Times New Roman" w:eastAsiaTheme="majorEastAsia" w:hAnsi="Times New Roman" w:cs="Times New Roman"/>
                    <w:sz w:val="48"/>
                    <w:szCs w:val="48"/>
                    <w:lang w:val="ro-RO"/>
                  </w:rPr>
                  <w:t>-2030, cu perspectiva anului 2050</w:t>
                </w:r>
                <w:bookmarkEnd w:id="0"/>
              </w:p>
            </w:tc>
          </w:tr>
          <w:tr w:rsidR="00271EFF" w:rsidRPr="007C266E" w14:paraId="2E892A19" w14:textId="77777777">
            <w:trPr>
              <w:trHeight w:val="720"/>
              <w:jc w:val="center"/>
            </w:trPr>
            <w:tc>
              <w:tcPr>
                <w:tcW w:w="5000" w:type="pct"/>
                <w:tcBorders>
                  <w:top w:val="single" w:sz="4" w:space="0" w:color="4F81BD" w:themeColor="accent1"/>
                </w:tcBorders>
                <w:vAlign w:val="center"/>
              </w:tcPr>
              <w:p w14:paraId="3E506D98" w14:textId="77777777" w:rsidR="00271EFF" w:rsidRPr="007C266E" w:rsidRDefault="00271EFF" w:rsidP="006E1D2D">
                <w:pPr>
                  <w:pStyle w:val="NoSpacing"/>
                  <w:jc w:val="center"/>
                  <w:rPr>
                    <w:rFonts w:ascii="Times New Roman" w:eastAsiaTheme="majorEastAsia" w:hAnsi="Times New Roman" w:cs="Times New Roman"/>
                    <w:sz w:val="23"/>
                    <w:szCs w:val="23"/>
                    <w:lang w:val="ro-RO"/>
                  </w:rPr>
                </w:pPr>
              </w:p>
            </w:tc>
          </w:tr>
          <w:tr w:rsidR="00271EFF" w:rsidRPr="007C266E" w14:paraId="0B0B1AF2" w14:textId="77777777">
            <w:trPr>
              <w:trHeight w:val="360"/>
              <w:jc w:val="center"/>
            </w:trPr>
            <w:tc>
              <w:tcPr>
                <w:tcW w:w="5000" w:type="pct"/>
                <w:vAlign w:val="center"/>
              </w:tcPr>
              <w:p w14:paraId="5F20DEAA" w14:textId="77777777" w:rsidR="00271EFF" w:rsidRPr="007C266E" w:rsidRDefault="00271EFF" w:rsidP="006E1D2D">
                <w:pPr>
                  <w:pStyle w:val="NoSpacing"/>
                  <w:jc w:val="center"/>
                  <w:rPr>
                    <w:rFonts w:ascii="Times New Roman" w:hAnsi="Times New Roman" w:cs="Times New Roman"/>
                    <w:sz w:val="23"/>
                    <w:szCs w:val="23"/>
                    <w:lang w:val="ro-RO"/>
                  </w:rPr>
                </w:pPr>
              </w:p>
            </w:tc>
          </w:tr>
          <w:tr w:rsidR="00271EFF" w:rsidRPr="007C266E" w14:paraId="02458C5A" w14:textId="77777777">
            <w:trPr>
              <w:trHeight w:val="360"/>
              <w:jc w:val="center"/>
            </w:trPr>
            <w:tc>
              <w:tcPr>
                <w:tcW w:w="5000" w:type="pct"/>
                <w:vAlign w:val="center"/>
              </w:tcPr>
              <w:p w14:paraId="44155AB4" w14:textId="77777777" w:rsidR="00271EFF" w:rsidRPr="007C266E" w:rsidRDefault="00271EFF" w:rsidP="006E1D2D">
                <w:pPr>
                  <w:pStyle w:val="NoSpacing"/>
                  <w:rPr>
                    <w:rFonts w:ascii="Times New Roman" w:hAnsi="Times New Roman" w:cs="Times New Roman"/>
                    <w:b/>
                    <w:bCs/>
                    <w:sz w:val="23"/>
                    <w:szCs w:val="23"/>
                    <w:lang w:val="ro-RO"/>
                  </w:rPr>
                </w:pPr>
              </w:p>
            </w:tc>
          </w:tr>
          <w:tr w:rsidR="00271EFF" w:rsidRPr="007C266E" w14:paraId="6BED02D0" w14:textId="77777777">
            <w:trPr>
              <w:trHeight w:val="360"/>
              <w:jc w:val="center"/>
            </w:trPr>
            <w:tc>
              <w:tcPr>
                <w:tcW w:w="5000" w:type="pct"/>
                <w:vAlign w:val="center"/>
              </w:tcPr>
              <w:p w14:paraId="41260DD2" w14:textId="77777777" w:rsidR="00271EFF" w:rsidRPr="007C266E" w:rsidRDefault="00271EFF" w:rsidP="006E1D2D">
                <w:pPr>
                  <w:pStyle w:val="NoSpacing"/>
                  <w:rPr>
                    <w:rFonts w:ascii="Times New Roman" w:hAnsi="Times New Roman" w:cs="Times New Roman"/>
                    <w:b/>
                    <w:bCs/>
                    <w:sz w:val="23"/>
                    <w:szCs w:val="23"/>
                    <w:lang w:val="ro-RO"/>
                  </w:rPr>
                </w:pPr>
              </w:p>
            </w:tc>
          </w:tr>
        </w:tbl>
        <w:p w14:paraId="7E91C804" w14:textId="77777777" w:rsidR="00271EFF" w:rsidRPr="007C266E" w:rsidRDefault="00271EFF" w:rsidP="00393588">
          <w:pPr>
            <w:spacing w:line="240" w:lineRule="auto"/>
            <w:rPr>
              <w:rFonts w:ascii="Times New Roman" w:hAnsi="Times New Roman" w:cs="Times New Roman"/>
              <w:sz w:val="23"/>
              <w:szCs w:val="23"/>
              <w:lang w:val="ro-RO"/>
            </w:rPr>
          </w:pPr>
        </w:p>
        <w:p w14:paraId="39B3355E" w14:textId="77777777" w:rsidR="00271EFF" w:rsidRPr="007C266E" w:rsidRDefault="00271EFF" w:rsidP="00393588">
          <w:pPr>
            <w:spacing w:line="240" w:lineRule="auto"/>
            <w:rPr>
              <w:rFonts w:ascii="Times New Roman" w:hAnsi="Times New Roman" w:cs="Times New Roman"/>
              <w:sz w:val="23"/>
              <w:szCs w:val="23"/>
              <w:lang w:val="ro-RO"/>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271EFF" w:rsidRPr="007C266E" w14:paraId="1A4B2B96" w14:textId="77777777">
            <w:tc>
              <w:tcPr>
                <w:tcW w:w="5000" w:type="pct"/>
              </w:tcPr>
              <w:p w14:paraId="2B1330FD" w14:textId="77777777" w:rsidR="00271EFF" w:rsidRPr="007C266E" w:rsidRDefault="00271EFF" w:rsidP="006E1D2D">
                <w:pPr>
                  <w:pStyle w:val="NoSpacing"/>
                  <w:rPr>
                    <w:rFonts w:ascii="Times New Roman" w:hAnsi="Times New Roman" w:cs="Times New Roman"/>
                    <w:sz w:val="23"/>
                    <w:szCs w:val="23"/>
                    <w:lang w:val="ro-RO"/>
                  </w:rPr>
                </w:pPr>
              </w:p>
            </w:tc>
          </w:tr>
        </w:tbl>
        <w:p w14:paraId="50D3CC85" w14:textId="77777777" w:rsidR="00271EFF" w:rsidRPr="007C266E" w:rsidRDefault="00271EFF" w:rsidP="00393588">
          <w:pPr>
            <w:spacing w:line="240" w:lineRule="auto"/>
            <w:rPr>
              <w:rFonts w:ascii="Times New Roman" w:hAnsi="Times New Roman" w:cs="Times New Roman"/>
              <w:sz w:val="23"/>
              <w:szCs w:val="23"/>
              <w:lang w:val="ro-RO"/>
            </w:rPr>
          </w:pPr>
        </w:p>
        <w:p w14:paraId="6859D88A" w14:textId="77777777" w:rsidR="00271EFF" w:rsidRPr="007C266E" w:rsidRDefault="00271EFF" w:rsidP="00393588">
          <w:pPr>
            <w:spacing w:line="240" w:lineRule="auto"/>
            <w:rPr>
              <w:rFonts w:ascii="Times New Roman" w:hAnsi="Times New Roman" w:cs="Times New Roman"/>
              <w:b/>
              <w:sz w:val="23"/>
              <w:szCs w:val="23"/>
              <w:lang w:val="ro-RO"/>
            </w:rPr>
          </w:pPr>
          <w:r w:rsidRPr="007C266E">
            <w:rPr>
              <w:rFonts w:ascii="Times New Roman" w:hAnsi="Times New Roman" w:cs="Times New Roman"/>
              <w:bCs/>
              <w:sz w:val="23"/>
              <w:szCs w:val="23"/>
              <w:lang w:val="ro-RO"/>
            </w:rPr>
            <w:br w:type="page"/>
          </w:r>
        </w:p>
      </w:sdtContent>
    </w:sdt>
    <w:sdt>
      <w:sdtPr>
        <w:rPr>
          <w:rFonts w:ascii="Times New Roman" w:eastAsiaTheme="minorHAnsi" w:hAnsi="Times New Roman" w:cs="Times New Roman"/>
          <w:b w:val="0"/>
          <w:bCs w:val="0"/>
          <w:color w:val="auto"/>
          <w:sz w:val="23"/>
          <w:szCs w:val="23"/>
          <w:lang w:val="ro-RO" w:eastAsia="en-US"/>
        </w:rPr>
        <w:id w:val="2143218414"/>
        <w:docPartObj>
          <w:docPartGallery w:val="Table of Contents"/>
          <w:docPartUnique/>
        </w:docPartObj>
      </w:sdtPr>
      <w:sdtEndPr/>
      <w:sdtContent>
        <w:p w14:paraId="59D5183F" w14:textId="77777777" w:rsidR="001143AF" w:rsidRPr="007C266E" w:rsidRDefault="001143AF" w:rsidP="00393588">
          <w:pPr>
            <w:pStyle w:val="TOCHeading"/>
            <w:spacing w:line="240" w:lineRule="auto"/>
            <w:rPr>
              <w:rFonts w:ascii="Times New Roman" w:hAnsi="Times New Roman" w:cs="Times New Roman"/>
              <w:sz w:val="23"/>
              <w:szCs w:val="23"/>
              <w:lang w:val="ro-RO"/>
            </w:rPr>
          </w:pPr>
          <w:r w:rsidRPr="007C266E">
            <w:rPr>
              <w:rFonts w:ascii="Times New Roman" w:hAnsi="Times New Roman" w:cs="Times New Roman"/>
              <w:sz w:val="23"/>
              <w:szCs w:val="23"/>
              <w:lang w:val="ro-RO"/>
            </w:rPr>
            <w:t>Cuprins</w:t>
          </w:r>
        </w:p>
        <w:p w14:paraId="5F101B3A" w14:textId="77777777" w:rsidR="001143AF" w:rsidRPr="007C266E" w:rsidRDefault="001143AF" w:rsidP="00393588">
          <w:pPr>
            <w:spacing w:line="240" w:lineRule="auto"/>
            <w:rPr>
              <w:rFonts w:ascii="Times New Roman" w:hAnsi="Times New Roman" w:cs="Times New Roman"/>
              <w:sz w:val="23"/>
              <w:szCs w:val="23"/>
              <w:lang w:val="ro-RO" w:eastAsia="ja-JP"/>
            </w:rPr>
          </w:pPr>
        </w:p>
        <w:p w14:paraId="07F160F5" w14:textId="77777777" w:rsidR="001F63CD" w:rsidRPr="007C266E" w:rsidRDefault="001143AF" w:rsidP="00393588">
          <w:pPr>
            <w:pStyle w:val="TOC1"/>
            <w:tabs>
              <w:tab w:val="right" w:leader="dot" w:pos="9350"/>
            </w:tabs>
            <w:spacing w:line="240" w:lineRule="auto"/>
            <w:rPr>
              <w:rFonts w:ascii="Times New Roman" w:eastAsiaTheme="minorEastAsia" w:hAnsi="Times New Roman" w:cs="Times New Roman"/>
              <w:noProof/>
              <w:sz w:val="23"/>
              <w:szCs w:val="23"/>
            </w:rPr>
          </w:pPr>
          <w:r w:rsidRPr="007C266E">
            <w:rPr>
              <w:rFonts w:ascii="Times New Roman" w:hAnsi="Times New Roman" w:cs="Times New Roman"/>
              <w:sz w:val="23"/>
              <w:szCs w:val="23"/>
              <w:lang w:val="ro-RO"/>
            </w:rPr>
            <w:fldChar w:fldCharType="begin"/>
          </w:r>
          <w:r w:rsidRPr="007C266E">
            <w:rPr>
              <w:rFonts w:ascii="Times New Roman" w:hAnsi="Times New Roman" w:cs="Times New Roman"/>
              <w:sz w:val="23"/>
              <w:szCs w:val="23"/>
              <w:lang w:val="ro-RO"/>
            </w:rPr>
            <w:instrText xml:space="preserve"> TOC \o "1-3" \h \z \u </w:instrText>
          </w:r>
          <w:r w:rsidRPr="007C266E">
            <w:rPr>
              <w:rFonts w:ascii="Times New Roman" w:hAnsi="Times New Roman" w:cs="Times New Roman"/>
              <w:sz w:val="23"/>
              <w:szCs w:val="23"/>
              <w:lang w:val="ro-RO"/>
            </w:rPr>
            <w:fldChar w:fldCharType="separate"/>
          </w:r>
          <w:hyperlink w:anchor="_Toc44400850" w:history="1">
            <w:r w:rsidR="001F63CD" w:rsidRPr="007C266E">
              <w:rPr>
                <w:rStyle w:val="Hyperlink"/>
                <w:rFonts w:ascii="Times New Roman" w:hAnsi="Times New Roman" w:cs="Times New Roman"/>
                <w:noProof/>
                <w:sz w:val="23"/>
                <w:szCs w:val="23"/>
                <w:lang w:val="ro-RO"/>
              </w:rPr>
              <w:t>CUVÂNT ÎNAINTE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_Toc44400850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4</w:t>
            </w:r>
            <w:r w:rsidR="001F63CD" w:rsidRPr="007C266E">
              <w:rPr>
                <w:rFonts w:ascii="Times New Roman" w:hAnsi="Times New Roman" w:cs="Times New Roman"/>
                <w:noProof/>
                <w:webHidden/>
                <w:sz w:val="23"/>
                <w:szCs w:val="23"/>
              </w:rPr>
              <w:fldChar w:fldCharType="end"/>
            </w:r>
          </w:hyperlink>
        </w:p>
        <w:p w14:paraId="52214529" w14:textId="77777777" w:rsidR="001F63CD" w:rsidRPr="007C266E" w:rsidRDefault="006940AA" w:rsidP="00393588">
          <w:pPr>
            <w:pStyle w:val="TOC1"/>
            <w:tabs>
              <w:tab w:val="right" w:leader="dot" w:pos="9350"/>
            </w:tabs>
            <w:spacing w:line="240" w:lineRule="auto"/>
            <w:rPr>
              <w:rFonts w:ascii="Times New Roman" w:eastAsiaTheme="minorEastAsia" w:hAnsi="Times New Roman" w:cs="Times New Roman"/>
              <w:noProof/>
              <w:sz w:val="23"/>
              <w:szCs w:val="23"/>
            </w:rPr>
          </w:pPr>
          <w:hyperlink w:anchor="_Toc44400851" w:history="1">
            <w:r w:rsidR="001F63CD" w:rsidRPr="007C266E">
              <w:rPr>
                <w:rStyle w:val="Hyperlink"/>
                <w:rFonts w:ascii="Times New Roman" w:hAnsi="Times New Roman" w:cs="Times New Roman"/>
                <w:noProof/>
                <w:sz w:val="23"/>
                <w:szCs w:val="23"/>
                <w:lang w:val="ro-RO"/>
              </w:rPr>
              <w:t>INTRODUCERE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_Toc44400851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5</w:t>
            </w:r>
            <w:r w:rsidR="001F63CD" w:rsidRPr="007C266E">
              <w:rPr>
                <w:rFonts w:ascii="Times New Roman" w:hAnsi="Times New Roman" w:cs="Times New Roman"/>
                <w:noProof/>
                <w:webHidden/>
                <w:sz w:val="23"/>
                <w:szCs w:val="23"/>
              </w:rPr>
              <w:fldChar w:fldCharType="end"/>
            </w:r>
          </w:hyperlink>
        </w:p>
        <w:p w14:paraId="61670B89" w14:textId="77777777" w:rsidR="001F63CD" w:rsidRPr="007C266E" w:rsidRDefault="006940AA" w:rsidP="00393588">
          <w:pPr>
            <w:pStyle w:val="TOC1"/>
            <w:tabs>
              <w:tab w:val="left" w:pos="440"/>
              <w:tab w:val="right" w:leader="dot" w:pos="9350"/>
            </w:tabs>
            <w:spacing w:line="240" w:lineRule="auto"/>
            <w:rPr>
              <w:rFonts w:ascii="Times New Roman" w:eastAsiaTheme="minorEastAsia" w:hAnsi="Times New Roman" w:cs="Times New Roman"/>
              <w:noProof/>
              <w:sz w:val="23"/>
              <w:szCs w:val="23"/>
            </w:rPr>
          </w:pPr>
          <w:hyperlink w:anchor="_Toc44400852" w:history="1">
            <w:r w:rsidR="001F63CD" w:rsidRPr="007C266E">
              <w:rPr>
                <w:rStyle w:val="Hyperlink"/>
                <w:rFonts w:ascii="Times New Roman" w:hAnsi="Times New Roman" w:cs="Times New Roman"/>
                <w:noProof/>
                <w:sz w:val="23"/>
                <w:szCs w:val="23"/>
                <w:lang w:val="ro-RO"/>
              </w:rPr>
              <w:t>I.</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VIZIUNEA STRATEGIEI ENERGETICE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_Toc44400852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8</w:t>
            </w:r>
            <w:r w:rsidR="001F63CD" w:rsidRPr="007C266E">
              <w:rPr>
                <w:rFonts w:ascii="Times New Roman" w:hAnsi="Times New Roman" w:cs="Times New Roman"/>
                <w:noProof/>
                <w:webHidden/>
                <w:sz w:val="23"/>
                <w:szCs w:val="23"/>
              </w:rPr>
              <w:fldChar w:fldCharType="end"/>
            </w:r>
          </w:hyperlink>
        </w:p>
        <w:p w14:paraId="49327836" w14:textId="77777777" w:rsidR="001F63CD" w:rsidRPr="007C266E" w:rsidRDefault="006940AA" w:rsidP="00393588">
          <w:pPr>
            <w:pStyle w:val="TOC1"/>
            <w:tabs>
              <w:tab w:val="left" w:pos="440"/>
              <w:tab w:val="right" w:leader="dot" w:pos="9350"/>
            </w:tabs>
            <w:spacing w:line="240" w:lineRule="auto"/>
            <w:rPr>
              <w:rFonts w:ascii="Times New Roman" w:eastAsiaTheme="minorEastAsia" w:hAnsi="Times New Roman" w:cs="Times New Roman"/>
              <w:noProof/>
              <w:sz w:val="23"/>
              <w:szCs w:val="23"/>
            </w:rPr>
          </w:pPr>
          <w:hyperlink w:anchor="_Toc44400853" w:history="1">
            <w:r w:rsidR="001F63CD" w:rsidRPr="007C266E">
              <w:rPr>
                <w:rStyle w:val="Hyperlink"/>
                <w:rFonts w:ascii="Times New Roman" w:hAnsi="Times New Roman" w:cs="Times New Roman"/>
                <w:noProof/>
                <w:sz w:val="23"/>
                <w:szCs w:val="23"/>
                <w:lang w:val="ro-RO"/>
              </w:rPr>
              <w:t>II.</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OBIECTIVELE STRATEGICE FUNDAMENTALE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_Toc44400853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10</w:t>
            </w:r>
            <w:r w:rsidR="001F63CD" w:rsidRPr="007C266E">
              <w:rPr>
                <w:rFonts w:ascii="Times New Roman" w:hAnsi="Times New Roman" w:cs="Times New Roman"/>
                <w:noProof/>
                <w:webHidden/>
                <w:sz w:val="23"/>
                <w:szCs w:val="23"/>
              </w:rPr>
              <w:fldChar w:fldCharType="end"/>
            </w:r>
          </w:hyperlink>
        </w:p>
        <w:p w14:paraId="303A899B" w14:textId="77777777"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54" w:history="1">
            <w:r w:rsidR="001F63CD" w:rsidRPr="007C266E">
              <w:rPr>
                <w:rStyle w:val="Hyperlink"/>
                <w:rFonts w:ascii="Times New Roman" w:hAnsi="Times New Roman" w:cs="Times New Roman"/>
                <w:noProof/>
                <w:sz w:val="23"/>
                <w:szCs w:val="23"/>
                <w:lang w:val="ro-RO"/>
              </w:rPr>
              <w:t>II.1.</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 xml:space="preserve">Modernizarea sistemului de guvernanță </w:t>
            </w:r>
            <w:r w:rsidR="00471096" w:rsidRPr="007C266E">
              <w:rPr>
                <w:rStyle w:val="Hyperlink"/>
                <w:rFonts w:ascii="Times New Roman" w:hAnsi="Times New Roman" w:cs="Times New Roman"/>
                <w:noProof/>
                <w:sz w:val="23"/>
                <w:szCs w:val="23"/>
                <w:lang w:val="ro-RO"/>
              </w:rPr>
              <w:t xml:space="preserve">corporativă </w:t>
            </w:r>
            <w:r w:rsidR="001F63CD" w:rsidRPr="007C266E">
              <w:rPr>
                <w:rStyle w:val="Hyperlink"/>
                <w:rFonts w:ascii="Times New Roman" w:hAnsi="Times New Roman" w:cs="Times New Roman"/>
                <w:noProof/>
                <w:sz w:val="23"/>
                <w:szCs w:val="23"/>
                <w:lang w:val="ro-RO"/>
              </w:rPr>
              <w:t>și a capacității instituționale</w:t>
            </w:r>
            <w:r w:rsidR="00471096" w:rsidRPr="007C266E">
              <w:rPr>
                <w:rStyle w:val="Hyperlink"/>
                <w:rFonts w:ascii="Times New Roman" w:hAnsi="Times New Roman" w:cs="Times New Roman"/>
                <w:noProof/>
                <w:sz w:val="23"/>
                <w:szCs w:val="23"/>
                <w:lang w:val="ro-RO"/>
              </w:rPr>
              <w:t xml:space="preserve"> de re</w:t>
            </w:r>
            <w:r w:rsidR="0044120D" w:rsidRPr="007C266E">
              <w:rPr>
                <w:rStyle w:val="Hyperlink"/>
                <w:rFonts w:ascii="Times New Roman" w:hAnsi="Times New Roman" w:cs="Times New Roman"/>
                <w:noProof/>
                <w:sz w:val="23"/>
                <w:szCs w:val="23"/>
                <w:lang w:val="ro-RO"/>
              </w:rPr>
              <w:t>g</w:t>
            </w:r>
            <w:r w:rsidR="00471096" w:rsidRPr="007C266E">
              <w:rPr>
                <w:rStyle w:val="Hyperlink"/>
                <w:rFonts w:ascii="Times New Roman" w:hAnsi="Times New Roman" w:cs="Times New Roman"/>
                <w:noProof/>
                <w:sz w:val="23"/>
                <w:szCs w:val="23"/>
                <w:lang w:val="ro-RO"/>
              </w:rPr>
              <w:t>lementare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_Toc44400854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10</w:t>
            </w:r>
            <w:r w:rsidR="001F63CD" w:rsidRPr="007C266E">
              <w:rPr>
                <w:rFonts w:ascii="Times New Roman" w:hAnsi="Times New Roman" w:cs="Times New Roman"/>
                <w:noProof/>
                <w:webHidden/>
                <w:sz w:val="23"/>
                <w:szCs w:val="23"/>
              </w:rPr>
              <w:fldChar w:fldCharType="end"/>
            </w:r>
          </w:hyperlink>
        </w:p>
        <w:p w14:paraId="50BDDEEB" w14:textId="77777777"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55" w:history="1">
            <w:r w:rsidR="001F63CD" w:rsidRPr="007C266E">
              <w:rPr>
                <w:rStyle w:val="Hyperlink"/>
                <w:rFonts w:ascii="Times New Roman" w:hAnsi="Times New Roman" w:cs="Times New Roman"/>
                <w:noProof/>
                <w:sz w:val="23"/>
                <w:szCs w:val="23"/>
                <w:lang w:val="ro-RO"/>
              </w:rPr>
              <w:t>II.2.</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Energie curată și eficiență energetică</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_Toc44400855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10</w:t>
            </w:r>
            <w:r w:rsidR="001F63CD" w:rsidRPr="007C266E">
              <w:rPr>
                <w:rFonts w:ascii="Times New Roman" w:hAnsi="Times New Roman" w:cs="Times New Roman"/>
                <w:noProof/>
                <w:webHidden/>
                <w:sz w:val="23"/>
                <w:szCs w:val="23"/>
              </w:rPr>
              <w:fldChar w:fldCharType="end"/>
            </w:r>
          </w:hyperlink>
        </w:p>
        <w:p w14:paraId="1F1DAE85" w14:textId="3D011B69"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56" w:history="1">
            <w:r w:rsidR="001F63CD" w:rsidRPr="007C266E">
              <w:rPr>
                <w:rStyle w:val="Hyperlink"/>
                <w:rFonts w:ascii="Times New Roman" w:hAnsi="Times New Roman" w:cs="Times New Roman"/>
                <w:noProof/>
                <w:sz w:val="23"/>
                <w:szCs w:val="23"/>
                <w:lang w:val="ro-RO"/>
              </w:rPr>
              <w:t>II.3.</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Asigurarea accesului la energie electrică, termică și gaze naturale pentru toți consumatorii</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_Toc44400856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12</w:t>
            </w:r>
            <w:r w:rsidR="001F63CD" w:rsidRPr="007C266E">
              <w:rPr>
                <w:rFonts w:ascii="Times New Roman" w:hAnsi="Times New Roman" w:cs="Times New Roman"/>
                <w:noProof/>
                <w:webHidden/>
                <w:sz w:val="23"/>
                <w:szCs w:val="23"/>
              </w:rPr>
              <w:fldChar w:fldCharType="end"/>
            </w:r>
          </w:hyperlink>
        </w:p>
        <w:p w14:paraId="50BCF34A" w14:textId="77777777"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57" w:history="1">
            <w:r w:rsidR="001F63CD" w:rsidRPr="007C266E">
              <w:rPr>
                <w:rStyle w:val="Hyperlink"/>
                <w:rFonts w:ascii="Times New Roman" w:hAnsi="Times New Roman" w:cs="Times New Roman"/>
                <w:noProof/>
                <w:sz w:val="23"/>
                <w:szCs w:val="23"/>
                <w:lang w:val="ro-RO"/>
              </w:rPr>
              <w:t>II.4.</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Protecția consumatorului vulnerabil și reducerea sărăciei energetice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_Toc44400857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13</w:t>
            </w:r>
            <w:r w:rsidR="001F63CD" w:rsidRPr="007C266E">
              <w:rPr>
                <w:rFonts w:ascii="Times New Roman" w:hAnsi="Times New Roman" w:cs="Times New Roman"/>
                <w:noProof/>
                <w:webHidden/>
                <w:sz w:val="23"/>
                <w:szCs w:val="23"/>
              </w:rPr>
              <w:fldChar w:fldCharType="end"/>
            </w:r>
          </w:hyperlink>
        </w:p>
        <w:p w14:paraId="7BCE48F4" w14:textId="6E856701"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58" w:history="1">
            <w:r w:rsidR="001F63CD" w:rsidRPr="007C266E">
              <w:rPr>
                <w:rStyle w:val="Hyperlink"/>
                <w:rFonts w:ascii="Times New Roman" w:hAnsi="Times New Roman" w:cs="Times New Roman"/>
                <w:noProof/>
                <w:sz w:val="23"/>
                <w:szCs w:val="23"/>
                <w:lang w:val="ro-RO"/>
              </w:rPr>
              <w:t>II.5.</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Piețe de energie competitive, baza unei economii competitive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_Toc44400858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14</w:t>
            </w:r>
            <w:r w:rsidR="001F63CD" w:rsidRPr="007C266E">
              <w:rPr>
                <w:rFonts w:ascii="Times New Roman" w:hAnsi="Times New Roman" w:cs="Times New Roman"/>
                <w:noProof/>
                <w:webHidden/>
                <w:sz w:val="23"/>
                <w:szCs w:val="23"/>
              </w:rPr>
              <w:fldChar w:fldCharType="end"/>
            </w:r>
          </w:hyperlink>
        </w:p>
        <w:p w14:paraId="33D1A823" w14:textId="77777777"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59" w:history="1">
            <w:r w:rsidR="001F63CD" w:rsidRPr="007C266E">
              <w:rPr>
                <w:rStyle w:val="Hyperlink"/>
                <w:rFonts w:ascii="Times New Roman" w:hAnsi="Times New Roman" w:cs="Times New Roman"/>
                <w:noProof/>
                <w:sz w:val="23"/>
                <w:szCs w:val="23"/>
                <w:lang w:val="ro-RO"/>
              </w:rPr>
              <w:t>II.6.</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Creșterea calității învățământului și inovării în domeniul energiei și formarea continuă a resursei umane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_Toc44400859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14</w:t>
            </w:r>
            <w:r w:rsidR="001F63CD" w:rsidRPr="007C266E">
              <w:rPr>
                <w:rFonts w:ascii="Times New Roman" w:hAnsi="Times New Roman" w:cs="Times New Roman"/>
                <w:noProof/>
                <w:webHidden/>
                <w:sz w:val="23"/>
                <w:szCs w:val="23"/>
              </w:rPr>
              <w:fldChar w:fldCharType="end"/>
            </w:r>
          </w:hyperlink>
        </w:p>
        <w:p w14:paraId="0D2C04FC" w14:textId="77777777"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60" w:history="1">
            <w:r w:rsidR="001F63CD" w:rsidRPr="007C266E">
              <w:rPr>
                <w:rStyle w:val="Hyperlink"/>
                <w:rFonts w:ascii="Times New Roman" w:hAnsi="Times New Roman" w:cs="Times New Roman"/>
                <w:noProof/>
                <w:sz w:val="23"/>
                <w:szCs w:val="23"/>
                <w:lang w:val="ro-RO"/>
              </w:rPr>
              <w:t>II.7.</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România, furnizor regional de securitate energetică</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_Toc44400860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15</w:t>
            </w:r>
            <w:r w:rsidR="001F63CD" w:rsidRPr="007C266E">
              <w:rPr>
                <w:rFonts w:ascii="Times New Roman" w:hAnsi="Times New Roman" w:cs="Times New Roman"/>
                <w:noProof/>
                <w:webHidden/>
                <w:sz w:val="23"/>
                <w:szCs w:val="23"/>
              </w:rPr>
              <w:fldChar w:fldCharType="end"/>
            </w:r>
          </w:hyperlink>
        </w:p>
        <w:p w14:paraId="6CC7E8D9" w14:textId="0ECD9132"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61" w:history="1">
            <w:r w:rsidR="001F63CD" w:rsidRPr="007C266E">
              <w:rPr>
                <w:rStyle w:val="Hyperlink"/>
                <w:rFonts w:ascii="Times New Roman" w:hAnsi="Times New Roman" w:cs="Times New Roman"/>
                <w:noProof/>
                <w:sz w:val="23"/>
                <w:szCs w:val="23"/>
                <w:lang w:val="ro-RO"/>
              </w:rPr>
              <w:t>II.8.</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Creșterea aportului energetic al României pe piețele regionale și europene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_Toc44400861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15</w:t>
            </w:r>
            <w:r w:rsidR="001F63CD" w:rsidRPr="007C266E">
              <w:rPr>
                <w:rFonts w:ascii="Times New Roman" w:hAnsi="Times New Roman" w:cs="Times New Roman"/>
                <w:noProof/>
                <w:webHidden/>
                <w:sz w:val="23"/>
                <w:szCs w:val="23"/>
              </w:rPr>
              <w:fldChar w:fldCharType="end"/>
            </w:r>
          </w:hyperlink>
        </w:p>
        <w:p w14:paraId="4C3CBA9A" w14:textId="77777777" w:rsidR="001F63CD" w:rsidRPr="007C266E" w:rsidRDefault="006940AA" w:rsidP="00393588">
          <w:pPr>
            <w:pStyle w:val="TOC1"/>
            <w:tabs>
              <w:tab w:val="left" w:pos="660"/>
              <w:tab w:val="right" w:leader="dot" w:pos="9350"/>
            </w:tabs>
            <w:spacing w:line="240" w:lineRule="auto"/>
            <w:rPr>
              <w:rFonts w:ascii="Times New Roman" w:eastAsiaTheme="minorEastAsia" w:hAnsi="Times New Roman" w:cs="Times New Roman"/>
              <w:noProof/>
              <w:sz w:val="23"/>
              <w:szCs w:val="23"/>
            </w:rPr>
          </w:pPr>
          <w:hyperlink w:anchor="_Toc44400862" w:history="1">
            <w:r w:rsidR="001F63CD" w:rsidRPr="007C266E">
              <w:rPr>
                <w:rStyle w:val="Hyperlink"/>
                <w:rFonts w:ascii="Times New Roman" w:hAnsi="Times New Roman" w:cs="Times New Roman"/>
                <w:noProof/>
                <w:sz w:val="23"/>
                <w:szCs w:val="23"/>
                <w:lang w:val="ro-RO"/>
              </w:rPr>
              <w:t>III.</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PROGRAMUL DE INVESTIȚII PRIORITARE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_Toc44400862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16</w:t>
            </w:r>
            <w:r w:rsidR="001F63CD" w:rsidRPr="007C266E">
              <w:rPr>
                <w:rFonts w:ascii="Times New Roman" w:hAnsi="Times New Roman" w:cs="Times New Roman"/>
                <w:noProof/>
                <w:webHidden/>
                <w:sz w:val="23"/>
                <w:szCs w:val="23"/>
              </w:rPr>
              <w:fldChar w:fldCharType="end"/>
            </w:r>
          </w:hyperlink>
        </w:p>
        <w:p w14:paraId="50CF83D4" w14:textId="7F47DA24" w:rsidR="001F63CD" w:rsidRPr="007C266E" w:rsidRDefault="006940AA" w:rsidP="00393588">
          <w:pPr>
            <w:pStyle w:val="TOC1"/>
            <w:tabs>
              <w:tab w:val="left" w:pos="660"/>
              <w:tab w:val="right" w:leader="dot" w:pos="9350"/>
            </w:tabs>
            <w:spacing w:line="240" w:lineRule="auto"/>
            <w:rPr>
              <w:rFonts w:ascii="Times New Roman" w:eastAsiaTheme="minorEastAsia" w:hAnsi="Times New Roman" w:cs="Times New Roman"/>
              <w:noProof/>
              <w:sz w:val="23"/>
              <w:szCs w:val="23"/>
            </w:rPr>
          </w:pPr>
          <w:hyperlink w:anchor="_Toc44400863" w:history="1">
            <w:r w:rsidR="001F63CD" w:rsidRPr="007C266E">
              <w:rPr>
                <w:rStyle w:val="Hyperlink"/>
                <w:rFonts w:ascii="Times New Roman" w:hAnsi="Times New Roman" w:cs="Times New Roman"/>
                <w:noProof/>
                <w:sz w:val="23"/>
                <w:szCs w:val="23"/>
                <w:lang w:val="ro-RO"/>
              </w:rPr>
              <w:t>IV.</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CONTEXTUL ACTUAL</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_Toc44400863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18</w:t>
            </w:r>
            <w:r w:rsidR="001F63CD" w:rsidRPr="007C266E">
              <w:rPr>
                <w:rFonts w:ascii="Times New Roman" w:hAnsi="Times New Roman" w:cs="Times New Roman"/>
                <w:noProof/>
                <w:webHidden/>
                <w:sz w:val="23"/>
                <w:szCs w:val="23"/>
              </w:rPr>
              <w:fldChar w:fldCharType="end"/>
            </w:r>
          </w:hyperlink>
        </w:p>
        <w:p w14:paraId="44014CB5" w14:textId="02889303"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64" w:history="1">
            <w:r w:rsidR="001F63CD" w:rsidRPr="007C266E">
              <w:rPr>
                <w:rStyle w:val="Hyperlink"/>
                <w:rFonts w:ascii="Times New Roman" w:hAnsi="Times New Roman" w:cs="Times New Roman"/>
                <w:noProof/>
                <w:sz w:val="23"/>
                <w:szCs w:val="23"/>
                <w:lang w:val="ro-RO"/>
              </w:rPr>
              <w:t>IV.1.</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Contextul global</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_Toc44400864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20</w:t>
            </w:r>
            <w:r w:rsidR="001F63CD" w:rsidRPr="007C266E">
              <w:rPr>
                <w:rFonts w:ascii="Times New Roman" w:hAnsi="Times New Roman" w:cs="Times New Roman"/>
                <w:noProof/>
                <w:webHidden/>
                <w:sz w:val="23"/>
                <w:szCs w:val="23"/>
              </w:rPr>
              <w:fldChar w:fldCharType="end"/>
            </w:r>
          </w:hyperlink>
        </w:p>
        <w:p w14:paraId="00E89CCA" w14:textId="4C7C9E59"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65" w:history="1">
            <w:r w:rsidR="001F63CD" w:rsidRPr="007C266E">
              <w:rPr>
                <w:rStyle w:val="Hyperlink"/>
                <w:rFonts w:ascii="Times New Roman" w:hAnsi="Times New Roman" w:cs="Times New Roman"/>
                <w:noProof/>
                <w:sz w:val="23"/>
                <w:szCs w:val="23"/>
                <w:lang w:val="ro-RO"/>
              </w:rPr>
              <w:t>IV.2.</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 xml:space="preserve"> Contextul european – Uniunea Energetică și Pactul Ecologic European</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_Toc44400865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21</w:t>
            </w:r>
            <w:r w:rsidR="001F63CD" w:rsidRPr="007C266E">
              <w:rPr>
                <w:rFonts w:ascii="Times New Roman" w:hAnsi="Times New Roman" w:cs="Times New Roman"/>
                <w:noProof/>
                <w:webHidden/>
                <w:sz w:val="23"/>
                <w:szCs w:val="23"/>
              </w:rPr>
              <w:fldChar w:fldCharType="end"/>
            </w:r>
          </w:hyperlink>
        </w:p>
        <w:p w14:paraId="76D3AD79" w14:textId="77777777"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66" w:history="1">
            <w:r w:rsidR="001F63CD" w:rsidRPr="007C266E">
              <w:rPr>
                <w:rStyle w:val="Hyperlink"/>
                <w:rFonts w:ascii="Times New Roman" w:hAnsi="Times New Roman" w:cs="Times New Roman"/>
                <w:noProof/>
                <w:sz w:val="23"/>
                <w:szCs w:val="23"/>
                <w:lang w:val="ro-RO"/>
              </w:rPr>
              <w:t>IV.3.</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Contextul regional: Europa Centrală și de Est și Bazinul Mării Negre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_Toc44400866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25</w:t>
            </w:r>
            <w:r w:rsidR="001F63CD" w:rsidRPr="007C266E">
              <w:rPr>
                <w:rFonts w:ascii="Times New Roman" w:hAnsi="Times New Roman" w:cs="Times New Roman"/>
                <w:noProof/>
                <w:webHidden/>
                <w:sz w:val="23"/>
                <w:szCs w:val="23"/>
              </w:rPr>
              <w:fldChar w:fldCharType="end"/>
            </w:r>
          </w:hyperlink>
        </w:p>
        <w:p w14:paraId="31B2EEB9" w14:textId="77777777" w:rsidR="001F63CD" w:rsidRPr="007C266E" w:rsidRDefault="006940AA" w:rsidP="00393588">
          <w:pPr>
            <w:pStyle w:val="TOC3"/>
            <w:tabs>
              <w:tab w:val="left" w:pos="1320"/>
              <w:tab w:val="right" w:leader="dot" w:pos="9350"/>
            </w:tabs>
            <w:spacing w:line="240" w:lineRule="auto"/>
            <w:rPr>
              <w:rFonts w:ascii="Times New Roman" w:eastAsiaTheme="minorEastAsia" w:hAnsi="Times New Roman" w:cs="Times New Roman"/>
              <w:noProof/>
              <w:sz w:val="23"/>
              <w:szCs w:val="23"/>
            </w:rPr>
          </w:pPr>
          <w:hyperlink w:anchor="_Toc44400867" w:history="1">
            <w:r w:rsidR="001F63CD" w:rsidRPr="007C266E">
              <w:rPr>
                <w:rStyle w:val="Hyperlink"/>
                <w:rFonts w:ascii="Times New Roman" w:hAnsi="Times New Roman" w:cs="Times New Roman"/>
                <w:noProof/>
                <w:sz w:val="23"/>
                <w:szCs w:val="23"/>
                <w:lang w:val="ro-RO"/>
              </w:rPr>
              <w:t>IV.3.1.</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Interconectarea rețelelor de transport al energiei</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_Toc44400867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25</w:t>
            </w:r>
            <w:r w:rsidR="001F63CD" w:rsidRPr="007C266E">
              <w:rPr>
                <w:rFonts w:ascii="Times New Roman" w:hAnsi="Times New Roman" w:cs="Times New Roman"/>
                <w:noProof/>
                <w:webHidden/>
                <w:sz w:val="23"/>
                <w:szCs w:val="23"/>
              </w:rPr>
              <w:fldChar w:fldCharType="end"/>
            </w:r>
          </w:hyperlink>
        </w:p>
        <w:p w14:paraId="387D06A6" w14:textId="77777777" w:rsidR="001F63CD" w:rsidRPr="007C266E" w:rsidRDefault="006940AA" w:rsidP="00393588">
          <w:pPr>
            <w:pStyle w:val="TOC3"/>
            <w:tabs>
              <w:tab w:val="left" w:pos="1320"/>
              <w:tab w:val="right" w:leader="dot" w:pos="9350"/>
            </w:tabs>
            <w:spacing w:line="240" w:lineRule="auto"/>
            <w:rPr>
              <w:rFonts w:ascii="Times New Roman" w:eastAsiaTheme="minorEastAsia" w:hAnsi="Times New Roman" w:cs="Times New Roman"/>
              <w:noProof/>
              <w:sz w:val="23"/>
              <w:szCs w:val="23"/>
            </w:rPr>
          </w:pPr>
          <w:hyperlink w:anchor="_Toc44400868" w:history="1">
            <w:r w:rsidR="001F63CD" w:rsidRPr="007C266E">
              <w:rPr>
                <w:rStyle w:val="Hyperlink"/>
                <w:rFonts w:ascii="Times New Roman" w:hAnsi="Times New Roman" w:cs="Times New Roman"/>
                <w:noProof/>
                <w:sz w:val="23"/>
                <w:szCs w:val="23"/>
                <w:lang w:val="ro-RO"/>
              </w:rPr>
              <w:t>IV.3.2.</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Geopolitica regională</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_Toc44400868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28</w:t>
            </w:r>
            <w:r w:rsidR="001F63CD" w:rsidRPr="007C266E">
              <w:rPr>
                <w:rFonts w:ascii="Times New Roman" w:hAnsi="Times New Roman" w:cs="Times New Roman"/>
                <w:noProof/>
                <w:webHidden/>
                <w:sz w:val="23"/>
                <w:szCs w:val="23"/>
              </w:rPr>
              <w:fldChar w:fldCharType="end"/>
            </w:r>
          </w:hyperlink>
        </w:p>
        <w:p w14:paraId="2F74E72C" w14:textId="77777777"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69" w:history="1">
            <w:r w:rsidR="001F63CD" w:rsidRPr="007C266E">
              <w:rPr>
                <w:rStyle w:val="Hyperlink"/>
                <w:rFonts w:ascii="Times New Roman" w:hAnsi="Times New Roman" w:cs="Times New Roman"/>
                <w:noProof/>
                <w:sz w:val="23"/>
                <w:szCs w:val="23"/>
                <w:lang w:val="ro-RO"/>
              </w:rPr>
              <w:t>IV.4.</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Sistemul energetic național: starea actuală</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_Toc44400869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28</w:t>
            </w:r>
            <w:r w:rsidR="001F63CD" w:rsidRPr="007C266E">
              <w:rPr>
                <w:rFonts w:ascii="Times New Roman" w:hAnsi="Times New Roman" w:cs="Times New Roman"/>
                <w:noProof/>
                <w:webHidden/>
                <w:sz w:val="23"/>
                <w:szCs w:val="23"/>
              </w:rPr>
              <w:fldChar w:fldCharType="end"/>
            </w:r>
          </w:hyperlink>
        </w:p>
        <w:p w14:paraId="32D546CC" w14:textId="77777777" w:rsidR="001F63CD" w:rsidRPr="007C266E" w:rsidRDefault="006940AA" w:rsidP="00393588">
          <w:pPr>
            <w:pStyle w:val="TOC3"/>
            <w:tabs>
              <w:tab w:val="left" w:pos="1320"/>
              <w:tab w:val="right" w:leader="dot" w:pos="9350"/>
            </w:tabs>
            <w:spacing w:line="240" w:lineRule="auto"/>
            <w:rPr>
              <w:rFonts w:ascii="Times New Roman" w:eastAsiaTheme="minorEastAsia" w:hAnsi="Times New Roman" w:cs="Times New Roman"/>
              <w:noProof/>
              <w:sz w:val="23"/>
              <w:szCs w:val="23"/>
            </w:rPr>
          </w:pPr>
          <w:hyperlink w:anchor="_Toc44400870" w:history="1">
            <w:r w:rsidR="001F63CD" w:rsidRPr="007C266E">
              <w:rPr>
                <w:rStyle w:val="Hyperlink"/>
                <w:rFonts w:ascii="Times New Roman" w:hAnsi="Times New Roman" w:cs="Times New Roman"/>
                <w:noProof/>
                <w:sz w:val="23"/>
                <w:szCs w:val="23"/>
                <w:lang w:val="ro-RO"/>
              </w:rPr>
              <w:t>IV.4.1.</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Resursele energetice primare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_Toc44400870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28</w:t>
            </w:r>
            <w:r w:rsidR="001F63CD" w:rsidRPr="007C266E">
              <w:rPr>
                <w:rFonts w:ascii="Times New Roman" w:hAnsi="Times New Roman" w:cs="Times New Roman"/>
                <w:noProof/>
                <w:webHidden/>
                <w:sz w:val="23"/>
                <w:szCs w:val="23"/>
              </w:rPr>
              <w:fldChar w:fldCharType="end"/>
            </w:r>
          </w:hyperlink>
        </w:p>
        <w:p w14:paraId="3B09C259" w14:textId="77777777" w:rsidR="001F63CD" w:rsidRPr="007C266E" w:rsidRDefault="006940AA" w:rsidP="00393588">
          <w:pPr>
            <w:pStyle w:val="TOC3"/>
            <w:tabs>
              <w:tab w:val="left" w:pos="1320"/>
              <w:tab w:val="right" w:leader="dot" w:pos="9350"/>
            </w:tabs>
            <w:spacing w:line="240" w:lineRule="auto"/>
            <w:rPr>
              <w:rFonts w:ascii="Times New Roman" w:eastAsiaTheme="minorEastAsia" w:hAnsi="Times New Roman" w:cs="Times New Roman"/>
              <w:noProof/>
              <w:sz w:val="23"/>
              <w:szCs w:val="23"/>
            </w:rPr>
          </w:pPr>
          <w:hyperlink w:anchor="_Toc44400871" w:history="1">
            <w:r w:rsidR="001F63CD" w:rsidRPr="007C266E">
              <w:rPr>
                <w:rStyle w:val="Hyperlink"/>
                <w:rFonts w:ascii="Times New Roman" w:hAnsi="Times New Roman" w:cs="Times New Roman"/>
                <w:noProof/>
                <w:sz w:val="23"/>
                <w:szCs w:val="23"/>
                <w:lang w:val="ro-RO"/>
              </w:rPr>
              <w:t>IV.4.2.</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Rafinarea și produsele petroliere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_Toc44400871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34</w:t>
            </w:r>
            <w:r w:rsidR="001F63CD" w:rsidRPr="007C266E">
              <w:rPr>
                <w:rFonts w:ascii="Times New Roman" w:hAnsi="Times New Roman" w:cs="Times New Roman"/>
                <w:noProof/>
                <w:webHidden/>
                <w:sz w:val="23"/>
                <w:szCs w:val="23"/>
              </w:rPr>
              <w:fldChar w:fldCharType="end"/>
            </w:r>
          </w:hyperlink>
        </w:p>
        <w:p w14:paraId="007199B1" w14:textId="77777777" w:rsidR="001F63CD" w:rsidRPr="007C266E" w:rsidRDefault="006940AA" w:rsidP="00393588">
          <w:pPr>
            <w:pStyle w:val="TOC3"/>
            <w:tabs>
              <w:tab w:val="left" w:pos="1320"/>
              <w:tab w:val="right" w:leader="dot" w:pos="9350"/>
            </w:tabs>
            <w:spacing w:line="240" w:lineRule="auto"/>
            <w:rPr>
              <w:rFonts w:ascii="Times New Roman" w:eastAsiaTheme="minorEastAsia" w:hAnsi="Times New Roman" w:cs="Times New Roman"/>
              <w:noProof/>
              <w:sz w:val="23"/>
              <w:szCs w:val="23"/>
            </w:rPr>
          </w:pPr>
          <w:hyperlink w:anchor="_Toc44400872" w:history="1">
            <w:r w:rsidR="001F63CD" w:rsidRPr="007C266E">
              <w:rPr>
                <w:rStyle w:val="Hyperlink"/>
                <w:rFonts w:ascii="Times New Roman" w:hAnsi="Times New Roman" w:cs="Times New Roman"/>
                <w:noProof/>
                <w:sz w:val="23"/>
                <w:szCs w:val="23"/>
                <w:lang w:val="ro-RO"/>
              </w:rPr>
              <w:t>IV.4.3.</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 xml:space="preserve"> Piața internă de gaze naturale, transportul, înmagazinarea și distribuția</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_Toc44400872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35</w:t>
            </w:r>
            <w:r w:rsidR="001F63CD" w:rsidRPr="007C266E">
              <w:rPr>
                <w:rFonts w:ascii="Times New Roman" w:hAnsi="Times New Roman" w:cs="Times New Roman"/>
                <w:noProof/>
                <w:webHidden/>
                <w:sz w:val="23"/>
                <w:szCs w:val="23"/>
              </w:rPr>
              <w:fldChar w:fldCharType="end"/>
            </w:r>
          </w:hyperlink>
        </w:p>
        <w:p w14:paraId="2121C81C" w14:textId="77777777" w:rsidR="001F63CD" w:rsidRPr="007C266E" w:rsidRDefault="006940AA" w:rsidP="00393588">
          <w:pPr>
            <w:pStyle w:val="TOC3"/>
            <w:tabs>
              <w:tab w:val="left" w:pos="1320"/>
              <w:tab w:val="right" w:leader="dot" w:pos="9350"/>
            </w:tabs>
            <w:spacing w:line="240" w:lineRule="auto"/>
            <w:rPr>
              <w:rFonts w:ascii="Times New Roman" w:eastAsiaTheme="minorEastAsia" w:hAnsi="Times New Roman" w:cs="Times New Roman"/>
              <w:noProof/>
              <w:sz w:val="23"/>
              <w:szCs w:val="23"/>
            </w:rPr>
          </w:pPr>
          <w:hyperlink w:anchor="_Toc44400873" w:history="1">
            <w:r w:rsidR="001F63CD" w:rsidRPr="007C266E">
              <w:rPr>
                <w:rStyle w:val="Hyperlink"/>
                <w:rFonts w:ascii="Times New Roman" w:hAnsi="Times New Roman" w:cs="Times New Roman"/>
                <w:noProof/>
                <w:sz w:val="23"/>
                <w:szCs w:val="23"/>
                <w:lang w:val="ro-RO"/>
              </w:rPr>
              <w:t>IV.4.4.</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Energie electrică</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_Toc44400873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37</w:t>
            </w:r>
            <w:r w:rsidR="001F63CD" w:rsidRPr="007C266E">
              <w:rPr>
                <w:rFonts w:ascii="Times New Roman" w:hAnsi="Times New Roman" w:cs="Times New Roman"/>
                <w:noProof/>
                <w:webHidden/>
                <w:sz w:val="23"/>
                <w:szCs w:val="23"/>
              </w:rPr>
              <w:fldChar w:fldCharType="end"/>
            </w:r>
          </w:hyperlink>
        </w:p>
        <w:p w14:paraId="2806A57A" w14:textId="77777777" w:rsidR="001F63CD" w:rsidRPr="007C266E" w:rsidRDefault="006940AA" w:rsidP="00393588">
          <w:pPr>
            <w:pStyle w:val="TOC3"/>
            <w:tabs>
              <w:tab w:val="left" w:pos="1320"/>
              <w:tab w:val="right" w:leader="dot" w:pos="9350"/>
            </w:tabs>
            <w:spacing w:line="240" w:lineRule="auto"/>
            <w:rPr>
              <w:rFonts w:ascii="Times New Roman" w:eastAsiaTheme="minorEastAsia" w:hAnsi="Times New Roman" w:cs="Times New Roman"/>
              <w:noProof/>
              <w:sz w:val="23"/>
              <w:szCs w:val="23"/>
            </w:rPr>
          </w:pPr>
          <w:hyperlink w:anchor="_Toc44400874" w:history="1">
            <w:r w:rsidR="001F63CD" w:rsidRPr="007C266E">
              <w:rPr>
                <w:rStyle w:val="Hyperlink"/>
                <w:rFonts w:ascii="Times New Roman" w:hAnsi="Times New Roman" w:cs="Times New Roman"/>
                <w:noProof/>
                <w:sz w:val="23"/>
                <w:szCs w:val="23"/>
                <w:lang w:val="ro-RO"/>
              </w:rPr>
              <w:t>IV.4.5.</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Eficiență energetică</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_Toc44400874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40</w:t>
            </w:r>
            <w:r w:rsidR="001F63CD" w:rsidRPr="007C266E">
              <w:rPr>
                <w:rFonts w:ascii="Times New Roman" w:hAnsi="Times New Roman" w:cs="Times New Roman"/>
                <w:noProof/>
                <w:webHidden/>
                <w:sz w:val="23"/>
                <w:szCs w:val="23"/>
              </w:rPr>
              <w:fldChar w:fldCharType="end"/>
            </w:r>
          </w:hyperlink>
        </w:p>
        <w:p w14:paraId="22070D5B" w14:textId="77777777" w:rsidR="001F63CD" w:rsidRPr="007C266E" w:rsidRDefault="006940AA" w:rsidP="00393588">
          <w:pPr>
            <w:pStyle w:val="TOC3"/>
            <w:tabs>
              <w:tab w:val="left" w:pos="1320"/>
              <w:tab w:val="right" w:leader="dot" w:pos="9350"/>
            </w:tabs>
            <w:spacing w:line="240" w:lineRule="auto"/>
            <w:rPr>
              <w:rFonts w:ascii="Times New Roman" w:eastAsiaTheme="minorEastAsia" w:hAnsi="Times New Roman" w:cs="Times New Roman"/>
              <w:noProof/>
              <w:sz w:val="23"/>
              <w:szCs w:val="23"/>
            </w:rPr>
          </w:pPr>
          <w:hyperlink w:anchor="_Toc44400875" w:history="1">
            <w:r w:rsidR="001F63CD" w:rsidRPr="007C266E">
              <w:rPr>
                <w:rStyle w:val="Hyperlink"/>
                <w:rFonts w:ascii="Times New Roman" w:hAnsi="Times New Roman" w:cs="Times New Roman"/>
                <w:noProof/>
                <w:sz w:val="23"/>
                <w:szCs w:val="23"/>
                <w:lang w:val="ro-RO"/>
              </w:rPr>
              <w:t>IV.4.6.</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Energie termică și cogenerare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_Toc44400875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41</w:t>
            </w:r>
            <w:r w:rsidR="001F63CD" w:rsidRPr="007C266E">
              <w:rPr>
                <w:rFonts w:ascii="Times New Roman" w:hAnsi="Times New Roman" w:cs="Times New Roman"/>
                <w:noProof/>
                <w:webHidden/>
                <w:sz w:val="23"/>
                <w:szCs w:val="23"/>
              </w:rPr>
              <w:fldChar w:fldCharType="end"/>
            </w:r>
          </w:hyperlink>
        </w:p>
        <w:p w14:paraId="03981798" w14:textId="77777777" w:rsidR="001F63CD" w:rsidRPr="007C266E" w:rsidRDefault="006940AA" w:rsidP="00393588">
          <w:pPr>
            <w:pStyle w:val="TOC3"/>
            <w:tabs>
              <w:tab w:val="left" w:pos="1320"/>
              <w:tab w:val="right" w:leader="dot" w:pos="9350"/>
            </w:tabs>
            <w:spacing w:line="240" w:lineRule="auto"/>
            <w:rPr>
              <w:rFonts w:ascii="Times New Roman" w:eastAsiaTheme="minorEastAsia" w:hAnsi="Times New Roman" w:cs="Times New Roman"/>
              <w:noProof/>
              <w:sz w:val="23"/>
              <w:szCs w:val="23"/>
            </w:rPr>
          </w:pPr>
          <w:hyperlink w:anchor="_Toc44400876" w:history="1">
            <w:r w:rsidR="001F63CD" w:rsidRPr="007C266E">
              <w:rPr>
                <w:rStyle w:val="Hyperlink"/>
                <w:rFonts w:ascii="Times New Roman" w:hAnsi="Times New Roman" w:cs="Times New Roman"/>
                <w:noProof/>
                <w:sz w:val="23"/>
                <w:szCs w:val="23"/>
                <w:lang w:val="ro-RO"/>
              </w:rPr>
              <w:t>IV.4.7.</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Companii energetice cu rol regional</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_Toc44400876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43</w:t>
            </w:r>
            <w:r w:rsidR="001F63CD" w:rsidRPr="007C266E">
              <w:rPr>
                <w:rFonts w:ascii="Times New Roman" w:hAnsi="Times New Roman" w:cs="Times New Roman"/>
                <w:noProof/>
                <w:webHidden/>
                <w:sz w:val="23"/>
                <w:szCs w:val="23"/>
              </w:rPr>
              <w:fldChar w:fldCharType="end"/>
            </w:r>
          </w:hyperlink>
        </w:p>
        <w:p w14:paraId="7CCDCE89" w14:textId="77777777" w:rsidR="001F63CD" w:rsidRPr="007C266E" w:rsidRDefault="006940AA" w:rsidP="00393588">
          <w:pPr>
            <w:pStyle w:val="TOC1"/>
            <w:tabs>
              <w:tab w:val="left" w:pos="440"/>
              <w:tab w:val="right" w:leader="dot" w:pos="9350"/>
            </w:tabs>
            <w:spacing w:line="240" w:lineRule="auto"/>
            <w:rPr>
              <w:rFonts w:ascii="Times New Roman" w:eastAsiaTheme="minorEastAsia" w:hAnsi="Times New Roman" w:cs="Times New Roman"/>
              <w:noProof/>
              <w:sz w:val="23"/>
              <w:szCs w:val="23"/>
            </w:rPr>
          </w:pPr>
          <w:hyperlink w:anchor="_Toc44400877" w:history="1">
            <w:r w:rsidR="001F63CD" w:rsidRPr="007C266E">
              <w:rPr>
                <w:rStyle w:val="Hyperlink"/>
                <w:rFonts w:ascii="Times New Roman" w:hAnsi="Times New Roman" w:cs="Times New Roman"/>
                <w:noProof/>
                <w:sz w:val="23"/>
                <w:szCs w:val="23"/>
                <w:lang w:val="ro-RO"/>
              </w:rPr>
              <w:t>V.</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MĂSURI ȘI ACȚIUNI PENTRU ATINGEREA OBIECTIVELOR STRATEGICE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_Toc44400877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48</w:t>
            </w:r>
            <w:r w:rsidR="001F63CD" w:rsidRPr="007C266E">
              <w:rPr>
                <w:rFonts w:ascii="Times New Roman" w:hAnsi="Times New Roman" w:cs="Times New Roman"/>
                <w:noProof/>
                <w:webHidden/>
                <w:sz w:val="23"/>
                <w:szCs w:val="23"/>
              </w:rPr>
              <w:fldChar w:fldCharType="end"/>
            </w:r>
          </w:hyperlink>
        </w:p>
        <w:p w14:paraId="7E795BAF" w14:textId="77777777" w:rsidR="001F63CD" w:rsidRPr="007C266E" w:rsidRDefault="006940AA" w:rsidP="00393588">
          <w:pPr>
            <w:pStyle w:val="TOC1"/>
            <w:tabs>
              <w:tab w:val="left" w:pos="660"/>
              <w:tab w:val="right" w:leader="dot" w:pos="9350"/>
            </w:tabs>
            <w:spacing w:line="240" w:lineRule="auto"/>
            <w:rPr>
              <w:rFonts w:ascii="Times New Roman" w:eastAsiaTheme="minorEastAsia" w:hAnsi="Times New Roman" w:cs="Times New Roman"/>
              <w:noProof/>
              <w:sz w:val="23"/>
              <w:szCs w:val="23"/>
            </w:rPr>
          </w:pPr>
          <w:hyperlink w:anchor="_Toc44400878" w:history="1">
            <w:r w:rsidR="001F63CD" w:rsidRPr="007C266E">
              <w:rPr>
                <w:rStyle w:val="Hyperlink"/>
                <w:rFonts w:ascii="Times New Roman" w:hAnsi="Times New Roman" w:cs="Times New Roman"/>
                <w:noProof/>
                <w:sz w:val="23"/>
                <w:szCs w:val="23"/>
                <w:lang w:val="ro-RO"/>
              </w:rPr>
              <w:t>VI.</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 xml:space="preserve">PREZENTARE GENERALĂ A SECTORULUI ENERGETIC NAȚIONAL ȘI </w:t>
            </w:r>
            <w:r w:rsidR="0044120D" w:rsidRPr="007C266E">
              <w:rPr>
                <w:rStyle w:val="Hyperlink"/>
                <w:rFonts w:ascii="Times New Roman" w:hAnsi="Times New Roman" w:cs="Times New Roman"/>
                <w:noProof/>
                <w:sz w:val="23"/>
                <w:szCs w:val="23"/>
                <w:lang w:val="ro-RO"/>
              </w:rPr>
              <w:t xml:space="preserve">A </w:t>
            </w:r>
            <w:r w:rsidR="001F63CD" w:rsidRPr="007C266E">
              <w:rPr>
                <w:rStyle w:val="Hyperlink"/>
                <w:rFonts w:ascii="Times New Roman" w:hAnsi="Times New Roman" w:cs="Times New Roman"/>
                <w:noProof/>
                <w:sz w:val="23"/>
                <w:szCs w:val="23"/>
                <w:lang w:val="ro-RO"/>
              </w:rPr>
              <w:t>DIRECȚIILOR DE DEZVOLTARE PÂNĂ ÎN ANUL 2030</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_Toc44400878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55</w:t>
            </w:r>
            <w:r w:rsidR="001F63CD" w:rsidRPr="007C266E">
              <w:rPr>
                <w:rFonts w:ascii="Times New Roman" w:hAnsi="Times New Roman" w:cs="Times New Roman"/>
                <w:noProof/>
                <w:webHidden/>
                <w:sz w:val="23"/>
                <w:szCs w:val="23"/>
              </w:rPr>
              <w:fldChar w:fldCharType="end"/>
            </w:r>
          </w:hyperlink>
        </w:p>
        <w:p w14:paraId="10BF3F30" w14:textId="77777777"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79" w:history="1">
            <w:r w:rsidR="001F63CD" w:rsidRPr="007C266E">
              <w:rPr>
                <w:rStyle w:val="Hyperlink"/>
                <w:rFonts w:ascii="Times New Roman" w:hAnsi="Times New Roman" w:cs="Times New Roman"/>
                <w:noProof/>
                <w:sz w:val="23"/>
                <w:szCs w:val="23"/>
                <w:lang w:val="ro-RO"/>
              </w:rPr>
              <w:t>VI.1.</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Energia din surse regenerabile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_Toc44400879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55</w:t>
            </w:r>
            <w:r w:rsidR="001F63CD" w:rsidRPr="007C266E">
              <w:rPr>
                <w:rFonts w:ascii="Times New Roman" w:hAnsi="Times New Roman" w:cs="Times New Roman"/>
                <w:noProof/>
                <w:webHidden/>
                <w:sz w:val="23"/>
                <w:szCs w:val="23"/>
              </w:rPr>
              <w:fldChar w:fldCharType="end"/>
            </w:r>
          </w:hyperlink>
        </w:p>
        <w:p w14:paraId="13E7DC99" w14:textId="77777777"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80" w:history="1">
            <w:r w:rsidR="001F63CD" w:rsidRPr="007C266E">
              <w:rPr>
                <w:rStyle w:val="Hyperlink"/>
                <w:rFonts w:ascii="Times New Roman" w:hAnsi="Times New Roman" w:cs="Times New Roman"/>
                <w:noProof/>
                <w:sz w:val="23"/>
                <w:szCs w:val="23"/>
                <w:lang w:val="ro-RO"/>
              </w:rPr>
              <w:t>VI.2.</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Eficiența energetică</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_Toc44400880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57</w:t>
            </w:r>
            <w:r w:rsidR="001F63CD" w:rsidRPr="007C266E">
              <w:rPr>
                <w:rFonts w:ascii="Times New Roman" w:hAnsi="Times New Roman" w:cs="Times New Roman"/>
                <w:noProof/>
                <w:webHidden/>
                <w:sz w:val="23"/>
                <w:szCs w:val="23"/>
              </w:rPr>
              <w:fldChar w:fldCharType="end"/>
            </w:r>
          </w:hyperlink>
        </w:p>
        <w:p w14:paraId="410689FC" w14:textId="77777777"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81" w:history="1">
            <w:r w:rsidR="001F63CD" w:rsidRPr="007C266E">
              <w:rPr>
                <w:rStyle w:val="Hyperlink"/>
                <w:rFonts w:ascii="Times New Roman" w:hAnsi="Times New Roman" w:cs="Times New Roman"/>
                <w:noProof/>
                <w:sz w:val="23"/>
                <w:szCs w:val="23"/>
                <w:lang w:val="ro-RO"/>
              </w:rPr>
              <w:t>VI.3.</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Securitatea energetică</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_Toc44400881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59</w:t>
            </w:r>
            <w:r w:rsidR="001F63CD" w:rsidRPr="007C266E">
              <w:rPr>
                <w:rFonts w:ascii="Times New Roman" w:hAnsi="Times New Roman" w:cs="Times New Roman"/>
                <w:noProof/>
                <w:webHidden/>
                <w:sz w:val="23"/>
                <w:szCs w:val="23"/>
              </w:rPr>
              <w:fldChar w:fldCharType="end"/>
            </w:r>
          </w:hyperlink>
        </w:p>
        <w:p w14:paraId="32E86F6D" w14:textId="63D3A861" w:rsidR="001F63CD" w:rsidRPr="007C266E" w:rsidRDefault="006940AA" w:rsidP="00393588">
          <w:pPr>
            <w:pStyle w:val="TOC2"/>
            <w:tabs>
              <w:tab w:val="left" w:pos="880"/>
              <w:tab w:val="right" w:leader="dot" w:pos="9350"/>
            </w:tabs>
            <w:spacing w:line="240" w:lineRule="auto"/>
            <w:rPr>
              <w:rFonts w:ascii="Times New Roman" w:eastAsiaTheme="minorEastAsia" w:hAnsi="Times New Roman" w:cs="Times New Roman"/>
              <w:noProof/>
              <w:sz w:val="23"/>
              <w:szCs w:val="23"/>
            </w:rPr>
          </w:pPr>
          <w:hyperlink w:anchor="_Toc44400882" w:history="1">
            <w:r w:rsidR="001F63CD" w:rsidRPr="007C266E">
              <w:rPr>
                <w:rStyle w:val="Hyperlink"/>
                <w:rFonts w:ascii="Times New Roman" w:hAnsi="Times New Roman" w:cs="Times New Roman"/>
                <w:noProof/>
                <w:sz w:val="23"/>
                <w:szCs w:val="23"/>
                <w:lang w:val="ro-RO"/>
              </w:rPr>
              <w:t>VI.4.</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Proiecte de interconexiune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_Toc44400882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60</w:t>
            </w:r>
            <w:r w:rsidR="001F63CD" w:rsidRPr="007C266E">
              <w:rPr>
                <w:rFonts w:ascii="Times New Roman" w:hAnsi="Times New Roman" w:cs="Times New Roman"/>
                <w:noProof/>
                <w:webHidden/>
                <w:sz w:val="23"/>
                <w:szCs w:val="23"/>
              </w:rPr>
              <w:fldChar w:fldCharType="end"/>
            </w:r>
          </w:hyperlink>
        </w:p>
        <w:p w14:paraId="1A076B23" w14:textId="77777777" w:rsidR="001F63CD" w:rsidRPr="007C266E" w:rsidRDefault="006940AA" w:rsidP="00393588">
          <w:pPr>
            <w:pStyle w:val="TOC2"/>
            <w:tabs>
              <w:tab w:val="right" w:leader="dot" w:pos="9350"/>
            </w:tabs>
            <w:spacing w:line="240" w:lineRule="auto"/>
            <w:rPr>
              <w:rFonts w:ascii="Times New Roman" w:eastAsiaTheme="minorEastAsia" w:hAnsi="Times New Roman" w:cs="Times New Roman"/>
              <w:noProof/>
              <w:sz w:val="23"/>
              <w:szCs w:val="23"/>
            </w:rPr>
          </w:pPr>
          <w:hyperlink w:anchor="_Toc44400883" w:history="1">
            <w:r w:rsidR="001F63CD" w:rsidRPr="007C266E">
              <w:rPr>
                <w:rStyle w:val="Hyperlink"/>
                <w:rFonts w:ascii="Times New Roman" w:hAnsi="Times New Roman" w:cs="Times New Roman"/>
                <w:noProof/>
                <w:sz w:val="23"/>
                <w:szCs w:val="23"/>
                <w:lang w:val="ro-RO"/>
              </w:rPr>
              <w:t>VI.5. Infrastructura de transport a energiei</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_Toc44400883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61</w:t>
            </w:r>
            <w:r w:rsidR="001F63CD" w:rsidRPr="007C266E">
              <w:rPr>
                <w:rFonts w:ascii="Times New Roman" w:hAnsi="Times New Roman" w:cs="Times New Roman"/>
                <w:noProof/>
                <w:webHidden/>
                <w:sz w:val="23"/>
                <w:szCs w:val="23"/>
              </w:rPr>
              <w:fldChar w:fldCharType="end"/>
            </w:r>
          </w:hyperlink>
        </w:p>
        <w:p w14:paraId="29A5DC95" w14:textId="49EF7F3C" w:rsidR="001F63CD" w:rsidRPr="007C266E" w:rsidRDefault="006940AA" w:rsidP="00393588">
          <w:pPr>
            <w:pStyle w:val="TOC2"/>
            <w:tabs>
              <w:tab w:val="right" w:leader="dot" w:pos="9350"/>
            </w:tabs>
            <w:spacing w:line="240" w:lineRule="auto"/>
            <w:rPr>
              <w:rFonts w:ascii="Times New Roman" w:eastAsiaTheme="minorEastAsia" w:hAnsi="Times New Roman" w:cs="Times New Roman"/>
              <w:noProof/>
              <w:sz w:val="23"/>
              <w:szCs w:val="23"/>
            </w:rPr>
          </w:pPr>
          <w:hyperlink w:anchor="_Toc44400884" w:history="1">
            <w:r w:rsidR="001F63CD" w:rsidRPr="007C266E">
              <w:rPr>
                <w:rStyle w:val="Hyperlink"/>
                <w:rFonts w:ascii="Times New Roman" w:hAnsi="Times New Roman" w:cs="Times New Roman"/>
                <w:noProof/>
                <w:sz w:val="23"/>
                <w:szCs w:val="23"/>
                <w:lang w:val="ro-RO"/>
              </w:rPr>
              <w:t>VI.6. Integrarea pietelor</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_Toc44400884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62</w:t>
            </w:r>
            <w:r w:rsidR="001F63CD" w:rsidRPr="007C266E">
              <w:rPr>
                <w:rFonts w:ascii="Times New Roman" w:hAnsi="Times New Roman" w:cs="Times New Roman"/>
                <w:noProof/>
                <w:webHidden/>
                <w:sz w:val="23"/>
                <w:szCs w:val="23"/>
              </w:rPr>
              <w:fldChar w:fldCharType="end"/>
            </w:r>
          </w:hyperlink>
        </w:p>
        <w:p w14:paraId="5B0C02D0" w14:textId="77777777" w:rsidR="001F63CD" w:rsidRPr="007C266E" w:rsidRDefault="006940AA" w:rsidP="00393588">
          <w:pPr>
            <w:pStyle w:val="TOC2"/>
            <w:tabs>
              <w:tab w:val="right" w:leader="dot" w:pos="9350"/>
            </w:tabs>
            <w:spacing w:line="240" w:lineRule="auto"/>
            <w:rPr>
              <w:rFonts w:ascii="Times New Roman" w:eastAsiaTheme="minorEastAsia" w:hAnsi="Times New Roman" w:cs="Times New Roman"/>
              <w:noProof/>
              <w:sz w:val="23"/>
              <w:szCs w:val="23"/>
            </w:rPr>
          </w:pPr>
          <w:hyperlink w:anchor="_Toc44400885" w:history="1">
            <w:r w:rsidR="001F63CD" w:rsidRPr="007C266E">
              <w:rPr>
                <w:rStyle w:val="Hyperlink"/>
                <w:rFonts w:ascii="Times New Roman" w:hAnsi="Times New Roman" w:cs="Times New Roman"/>
                <w:noProof/>
                <w:sz w:val="23"/>
                <w:szCs w:val="23"/>
                <w:lang w:val="ro-RO"/>
              </w:rPr>
              <w:t>VI.7. Sărăcia energetică</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_Toc44400885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62</w:t>
            </w:r>
            <w:r w:rsidR="001F63CD" w:rsidRPr="007C266E">
              <w:rPr>
                <w:rFonts w:ascii="Times New Roman" w:hAnsi="Times New Roman" w:cs="Times New Roman"/>
                <w:noProof/>
                <w:webHidden/>
                <w:sz w:val="23"/>
                <w:szCs w:val="23"/>
              </w:rPr>
              <w:fldChar w:fldCharType="end"/>
            </w:r>
          </w:hyperlink>
        </w:p>
        <w:p w14:paraId="5E8B3860" w14:textId="03F0ED27" w:rsidR="00B164F4" w:rsidRPr="007C266E" w:rsidRDefault="006940AA" w:rsidP="009B7CA9">
          <w:pPr>
            <w:pStyle w:val="TOC1"/>
            <w:tabs>
              <w:tab w:val="left" w:pos="660"/>
              <w:tab w:val="right" w:leader="dot" w:pos="9350"/>
            </w:tabs>
            <w:spacing w:line="240" w:lineRule="auto"/>
            <w:rPr>
              <w:rFonts w:ascii="Times New Roman" w:eastAsiaTheme="minorEastAsia" w:hAnsi="Times New Roman" w:cs="Times New Roman"/>
              <w:noProof/>
              <w:sz w:val="23"/>
              <w:szCs w:val="23"/>
            </w:rPr>
          </w:pPr>
          <w:hyperlink w:anchor="_Toc44400886" w:history="1">
            <w:r w:rsidR="001F63CD" w:rsidRPr="007C266E">
              <w:rPr>
                <w:rStyle w:val="Hyperlink"/>
                <w:rFonts w:ascii="Times New Roman" w:hAnsi="Times New Roman" w:cs="Times New Roman"/>
                <w:noProof/>
                <w:sz w:val="23"/>
                <w:szCs w:val="23"/>
                <w:lang w:val="ro-RO"/>
              </w:rPr>
              <w:t>VII.</w:t>
            </w:r>
            <w:r w:rsidR="001F63CD" w:rsidRPr="007C266E">
              <w:rPr>
                <w:rFonts w:ascii="Times New Roman" w:eastAsiaTheme="minorEastAsia" w:hAnsi="Times New Roman" w:cs="Times New Roman"/>
                <w:noProof/>
                <w:sz w:val="23"/>
                <w:szCs w:val="23"/>
              </w:rPr>
              <w:tab/>
            </w:r>
            <w:r w:rsidR="001F63CD" w:rsidRPr="007C266E">
              <w:rPr>
                <w:rStyle w:val="Hyperlink"/>
                <w:rFonts w:ascii="Times New Roman" w:hAnsi="Times New Roman" w:cs="Times New Roman"/>
                <w:noProof/>
                <w:sz w:val="23"/>
                <w:szCs w:val="23"/>
                <w:lang w:val="ro-RO"/>
              </w:rPr>
              <w:t>PERSPECTIVE ALE SECTORULUI ENERGETIC ROMÂNESC ÎNTRE 2030 ȘI 2050</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_Toc44400886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64</w:t>
            </w:r>
            <w:r w:rsidR="001F63CD" w:rsidRPr="007C266E">
              <w:rPr>
                <w:rFonts w:ascii="Times New Roman" w:hAnsi="Times New Roman" w:cs="Times New Roman"/>
                <w:noProof/>
                <w:webHidden/>
                <w:sz w:val="23"/>
                <w:szCs w:val="23"/>
              </w:rPr>
              <w:fldChar w:fldCharType="end"/>
            </w:r>
          </w:hyperlink>
        </w:p>
        <w:p w14:paraId="1DFEAECB" w14:textId="4CC6A82A" w:rsidR="001F63CD" w:rsidRPr="007C266E" w:rsidRDefault="006940AA" w:rsidP="00393588">
          <w:pPr>
            <w:pStyle w:val="TOC3"/>
            <w:tabs>
              <w:tab w:val="right" w:leader="dot" w:pos="9350"/>
            </w:tabs>
            <w:spacing w:line="240" w:lineRule="auto"/>
            <w:rPr>
              <w:rFonts w:ascii="Times New Roman" w:eastAsiaTheme="minorEastAsia" w:hAnsi="Times New Roman" w:cs="Times New Roman"/>
              <w:noProof/>
              <w:sz w:val="23"/>
              <w:szCs w:val="23"/>
            </w:rPr>
          </w:pPr>
          <w:hyperlink w:anchor="_Toc44400887" w:history="1">
            <w:r w:rsidR="001F63CD" w:rsidRPr="007C266E">
              <w:rPr>
                <w:rStyle w:val="Hyperlink"/>
                <w:rFonts w:ascii="Times New Roman" w:hAnsi="Times New Roman" w:cs="Times New Roman"/>
                <w:noProof/>
                <w:sz w:val="23"/>
                <w:szCs w:val="23"/>
                <w:lang w:val="ro-RO"/>
              </w:rPr>
              <w:t>ACTUALIZAREA PERIODICĂ A STRATEGIEI ENERGETICE</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_Toc44400887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70</w:t>
            </w:r>
            <w:r w:rsidR="001F63CD" w:rsidRPr="007C266E">
              <w:rPr>
                <w:rFonts w:ascii="Times New Roman" w:hAnsi="Times New Roman" w:cs="Times New Roman"/>
                <w:noProof/>
                <w:webHidden/>
                <w:sz w:val="23"/>
                <w:szCs w:val="23"/>
              </w:rPr>
              <w:fldChar w:fldCharType="end"/>
            </w:r>
          </w:hyperlink>
        </w:p>
        <w:p w14:paraId="4E845525" w14:textId="7C2E3988" w:rsidR="001F63CD" w:rsidRPr="007C266E" w:rsidRDefault="006940AA" w:rsidP="00393588">
          <w:pPr>
            <w:pStyle w:val="TOC1"/>
            <w:tabs>
              <w:tab w:val="right" w:leader="dot" w:pos="9350"/>
            </w:tabs>
            <w:spacing w:line="240" w:lineRule="auto"/>
            <w:rPr>
              <w:rFonts w:ascii="Times New Roman" w:eastAsiaTheme="minorEastAsia" w:hAnsi="Times New Roman" w:cs="Times New Roman"/>
              <w:noProof/>
              <w:sz w:val="23"/>
              <w:szCs w:val="23"/>
            </w:rPr>
          </w:pPr>
          <w:hyperlink w:anchor="_Toc44400888" w:history="1">
            <w:r w:rsidR="001F63CD" w:rsidRPr="007C266E">
              <w:rPr>
                <w:rStyle w:val="Hyperlink"/>
                <w:rFonts w:ascii="Times New Roman" w:hAnsi="Times New Roman" w:cs="Times New Roman"/>
                <w:noProof/>
                <w:sz w:val="23"/>
                <w:szCs w:val="23"/>
                <w:lang w:val="ro-RO"/>
              </w:rPr>
              <w:t>Abrevieri</w:t>
            </w:r>
            <w:r w:rsidR="001F63CD" w:rsidRPr="007C266E">
              <w:rPr>
                <w:rFonts w:ascii="Times New Roman" w:hAnsi="Times New Roman" w:cs="Times New Roman"/>
                <w:noProof/>
                <w:webHidden/>
                <w:sz w:val="23"/>
                <w:szCs w:val="23"/>
              </w:rPr>
              <w:tab/>
            </w:r>
            <w:r w:rsidR="001F63CD" w:rsidRPr="007C266E">
              <w:rPr>
                <w:rFonts w:ascii="Times New Roman" w:hAnsi="Times New Roman" w:cs="Times New Roman"/>
                <w:noProof/>
                <w:webHidden/>
                <w:sz w:val="23"/>
                <w:szCs w:val="23"/>
              </w:rPr>
              <w:fldChar w:fldCharType="begin"/>
            </w:r>
            <w:r w:rsidR="001F63CD" w:rsidRPr="007C266E">
              <w:rPr>
                <w:rFonts w:ascii="Times New Roman" w:hAnsi="Times New Roman" w:cs="Times New Roman"/>
                <w:noProof/>
                <w:webHidden/>
                <w:sz w:val="23"/>
                <w:szCs w:val="23"/>
              </w:rPr>
              <w:instrText xml:space="preserve"> PAGEREF _Toc44400888 \h </w:instrText>
            </w:r>
            <w:r w:rsidR="001F63CD" w:rsidRPr="007C266E">
              <w:rPr>
                <w:rFonts w:ascii="Times New Roman" w:hAnsi="Times New Roman" w:cs="Times New Roman"/>
                <w:noProof/>
                <w:webHidden/>
                <w:sz w:val="23"/>
                <w:szCs w:val="23"/>
              </w:rPr>
            </w:r>
            <w:r w:rsidR="001F63CD" w:rsidRPr="007C266E">
              <w:rPr>
                <w:rFonts w:ascii="Times New Roman" w:hAnsi="Times New Roman" w:cs="Times New Roman"/>
                <w:noProof/>
                <w:webHidden/>
                <w:sz w:val="23"/>
                <w:szCs w:val="23"/>
              </w:rPr>
              <w:fldChar w:fldCharType="separate"/>
            </w:r>
            <w:r w:rsidR="00F2452A">
              <w:rPr>
                <w:rFonts w:ascii="Times New Roman" w:hAnsi="Times New Roman" w:cs="Times New Roman"/>
                <w:noProof/>
                <w:webHidden/>
                <w:sz w:val="23"/>
                <w:szCs w:val="23"/>
              </w:rPr>
              <w:t>71</w:t>
            </w:r>
            <w:r w:rsidR="001F63CD" w:rsidRPr="007C266E">
              <w:rPr>
                <w:rFonts w:ascii="Times New Roman" w:hAnsi="Times New Roman" w:cs="Times New Roman"/>
                <w:noProof/>
                <w:webHidden/>
                <w:sz w:val="23"/>
                <w:szCs w:val="23"/>
              </w:rPr>
              <w:fldChar w:fldCharType="end"/>
            </w:r>
          </w:hyperlink>
        </w:p>
        <w:p w14:paraId="45C35D82" w14:textId="77777777" w:rsidR="001143AF" w:rsidRPr="007C266E" w:rsidRDefault="001143AF" w:rsidP="00393588">
          <w:pPr>
            <w:spacing w:line="240" w:lineRule="auto"/>
            <w:rPr>
              <w:rFonts w:ascii="Times New Roman" w:hAnsi="Times New Roman" w:cs="Times New Roman"/>
              <w:sz w:val="23"/>
              <w:szCs w:val="23"/>
              <w:lang w:val="ro-RO"/>
            </w:rPr>
          </w:pPr>
          <w:r w:rsidRPr="007C266E">
            <w:rPr>
              <w:rFonts w:ascii="Times New Roman" w:hAnsi="Times New Roman" w:cs="Times New Roman"/>
              <w:b/>
              <w:bCs/>
              <w:sz w:val="23"/>
              <w:szCs w:val="23"/>
              <w:lang w:val="ro-RO"/>
            </w:rPr>
            <w:fldChar w:fldCharType="end"/>
          </w:r>
        </w:p>
      </w:sdtContent>
    </w:sdt>
    <w:p w14:paraId="72E721BC" w14:textId="77777777" w:rsidR="00567738" w:rsidRPr="007C266E" w:rsidRDefault="00567738" w:rsidP="00393588">
      <w:pPr>
        <w:spacing w:line="240" w:lineRule="auto"/>
        <w:rPr>
          <w:rFonts w:ascii="Times New Roman" w:eastAsiaTheme="majorEastAsia" w:hAnsi="Times New Roman" w:cs="Times New Roman"/>
          <w:b/>
          <w:bCs/>
          <w:color w:val="365F91" w:themeColor="accent1" w:themeShade="BF"/>
          <w:sz w:val="23"/>
          <w:szCs w:val="23"/>
          <w:lang w:val="ro-RO"/>
        </w:rPr>
      </w:pPr>
      <w:bookmarkStart w:id="1" w:name="_Toc466065707"/>
      <w:r w:rsidRPr="007C266E">
        <w:rPr>
          <w:rFonts w:ascii="Times New Roman" w:hAnsi="Times New Roman" w:cs="Times New Roman"/>
          <w:sz w:val="23"/>
          <w:szCs w:val="23"/>
          <w:lang w:val="ro-RO"/>
        </w:rPr>
        <w:br w:type="page"/>
      </w:r>
    </w:p>
    <w:bookmarkEnd w:id="1"/>
    <w:p w14:paraId="28061D83" w14:textId="77777777" w:rsidR="003F5093" w:rsidRPr="007C266E" w:rsidRDefault="003F5093" w:rsidP="006E1D2D">
      <w:pPr>
        <w:pStyle w:val="Heading1"/>
        <w:spacing w:before="0" w:line="240" w:lineRule="auto"/>
        <w:rPr>
          <w:rFonts w:ascii="Times New Roman" w:hAnsi="Times New Roman" w:cs="Times New Roman"/>
          <w:sz w:val="23"/>
          <w:szCs w:val="23"/>
          <w:lang w:val="ro-RO"/>
        </w:rPr>
      </w:pPr>
    </w:p>
    <w:p w14:paraId="0DA6F9F1" w14:textId="77777777" w:rsidR="003F5093" w:rsidRPr="007C266E" w:rsidRDefault="003F5093" w:rsidP="00393588">
      <w:pPr>
        <w:spacing w:line="240" w:lineRule="auto"/>
        <w:rPr>
          <w:rFonts w:ascii="Times New Roman" w:hAnsi="Times New Roman" w:cs="Times New Roman"/>
          <w:sz w:val="23"/>
          <w:szCs w:val="23"/>
          <w:lang w:val="ro-RO"/>
        </w:rPr>
      </w:pPr>
    </w:p>
    <w:p w14:paraId="59CF53BD" w14:textId="77777777" w:rsidR="003F5093" w:rsidRPr="007C266E" w:rsidRDefault="003F5093" w:rsidP="006E1D2D">
      <w:pPr>
        <w:pStyle w:val="Heading1"/>
        <w:spacing w:before="0" w:line="240" w:lineRule="auto"/>
        <w:rPr>
          <w:rFonts w:ascii="Times New Roman" w:hAnsi="Times New Roman" w:cs="Times New Roman"/>
          <w:sz w:val="23"/>
          <w:szCs w:val="23"/>
          <w:lang w:val="ro-RO"/>
        </w:rPr>
      </w:pPr>
      <w:bookmarkStart w:id="2" w:name="_Toc44400850"/>
      <w:r w:rsidRPr="007C266E">
        <w:rPr>
          <w:rFonts w:ascii="Times New Roman" w:hAnsi="Times New Roman" w:cs="Times New Roman"/>
          <w:sz w:val="23"/>
          <w:szCs w:val="23"/>
          <w:lang w:val="ro-RO"/>
        </w:rPr>
        <w:t>CUVÂNT ÎNAINTE</w:t>
      </w:r>
      <w:bookmarkEnd w:id="2"/>
    </w:p>
    <w:p w14:paraId="01CC548D" w14:textId="77777777" w:rsidR="003F5093" w:rsidRPr="007C266E" w:rsidRDefault="003F5093" w:rsidP="00393588">
      <w:pPr>
        <w:spacing w:after="0" w:line="240" w:lineRule="auto"/>
        <w:rPr>
          <w:rFonts w:ascii="Times New Roman" w:hAnsi="Times New Roman" w:cs="Times New Roman"/>
          <w:sz w:val="23"/>
          <w:szCs w:val="23"/>
          <w:lang w:val="ro-RO"/>
        </w:rPr>
      </w:pPr>
    </w:p>
    <w:p w14:paraId="16D4655D" w14:textId="77777777" w:rsidR="003F5093" w:rsidRPr="007C266E" w:rsidRDefault="003F5093"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i/>
          <w:sz w:val="23"/>
          <w:szCs w:val="23"/>
          <w:lang w:val="ro-RO"/>
        </w:rPr>
        <w:t xml:space="preserve">„Dezvoltarea și creșterea competitivității economiei României, creșterea calității vieții și grija pentru mediul înconjurător sunt indisolubil legate de dezvoltarea și modernizarea sistemului energetic.” </w:t>
      </w:r>
      <w:r w:rsidRPr="007C266E">
        <w:rPr>
          <w:rFonts w:ascii="Times New Roman" w:hAnsi="Times New Roman" w:cs="Times New Roman"/>
          <w:sz w:val="23"/>
          <w:szCs w:val="23"/>
          <w:lang w:val="ro-RO"/>
        </w:rPr>
        <w:t>Aceasta este fraza care deschide proiectul Strategiei Energetice a României, acesta este conceptul pe care este construit acest document programatic, iar principalul beneficiar al implementării Strategiei Energetice va fi consumatorul.</w:t>
      </w:r>
    </w:p>
    <w:p w14:paraId="6D4166D8" w14:textId="77777777" w:rsidR="003F5093" w:rsidRPr="007C266E" w:rsidRDefault="003F5093"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011356F2" w14:textId="77777777" w:rsidR="003F5093" w:rsidRPr="007C266E" w:rsidRDefault="003F5093"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România are nevoie de repere de dezvoltare pragmatice, iar viziunea Strategiei Energetice este de creștere a sectorului energetic românesc. Dezvoltarea sectorului energetic presupune, pe de-o parte, politici energetice coerente și clare, iar pe de altă parte - investiții. Creșterea economiei Românești înseamnă, din perspectiva sectorului energetic, construirea de noi capacități de producție a energiei; retehnologizarea și modernizarea capacităților de producție, transport și distribuție de energie; încurajarea creșterii consumului intern în condiții de eficiență energetică; export. </w:t>
      </w:r>
    </w:p>
    <w:p w14:paraId="5DFB39BC" w14:textId="77777777" w:rsidR="003F5093" w:rsidRPr="007C266E" w:rsidRDefault="003F5093" w:rsidP="00393588">
      <w:pPr>
        <w:spacing w:after="0" w:line="240" w:lineRule="auto"/>
        <w:jc w:val="both"/>
        <w:rPr>
          <w:rFonts w:ascii="Times New Roman" w:hAnsi="Times New Roman" w:cs="Times New Roman"/>
          <w:sz w:val="23"/>
          <w:szCs w:val="23"/>
          <w:lang w:val="ro-RO"/>
        </w:rPr>
      </w:pPr>
    </w:p>
    <w:p w14:paraId="09E2C781" w14:textId="77777777" w:rsidR="003F5093" w:rsidRPr="007C266E" w:rsidRDefault="003F5093"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Strategia Energetică propune ținte concrete, stabilește direcții clare și definește reperele prin care România își va menține poziția de producător de energie în regiune și de actor activ și important în gestionarea situațiilor de stres la nivel regional. </w:t>
      </w:r>
    </w:p>
    <w:p w14:paraId="5C0C5583" w14:textId="77777777" w:rsidR="003F5093" w:rsidRPr="007C266E" w:rsidRDefault="003F5093" w:rsidP="00393588">
      <w:pPr>
        <w:spacing w:after="0" w:line="240" w:lineRule="auto"/>
        <w:jc w:val="both"/>
        <w:rPr>
          <w:rFonts w:ascii="Times New Roman" w:hAnsi="Times New Roman" w:cs="Times New Roman"/>
          <w:sz w:val="23"/>
          <w:szCs w:val="23"/>
          <w:lang w:val="ro-RO"/>
        </w:rPr>
      </w:pPr>
    </w:p>
    <w:p w14:paraId="60395E86" w14:textId="24F2012A" w:rsidR="003F5093" w:rsidRPr="007C266E" w:rsidRDefault="003F5093"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De asemenea, Strategia Energetică fundamentează poziționarea Ro</w:t>
      </w:r>
      <w:r w:rsidR="00E6337D" w:rsidRPr="007C266E">
        <w:rPr>
          <w:rFonts w:ascii="Times New Roman" w:hAnsi="Times New Roman" w:cs="Times New Roman"/>
          <w:sz w:val="23"/>
          <w:szCs w:val="23"/>
          <w:lang w:val="ro-RO"/>
        </w:rPr>
        <w:t>mâniei în raport cu propunerile</w:t>
      </w:r>
      <w:r w:rsidRPr="007C266E">
        <w:rPr>
          <w:rFonts w:ascii="Times New Roman" w:hAnsi="Times New Roman" w:cs="Times New Roman"/>
          <w:sz w:val="23"/>
          <w:szCs w:val="23"/>
          <w:lang w:val="ro-RO"/>
        </w:rPr>
        <w:t xml:space="preserve"> de reformă a pieței europene de energie, iar un loc important este destinat analizei contextului european și politicilor de creare a Uniunii Energetice din care </w:t>
      </w:r>
      <w:r w:rsidR="00411BAE">
        <w:rPr>
          <w:rFonts w:ascii="Times New Roman" w:hAnsi="Times New Roman" w:cs="Times New Roman"/>
          <w:sz w:val="23"/>
          <w:szCs w:val="23"/>
          <w:lang w:val="ro-RO"/>
        </w:rPr>
        <w:t xml:space="preserve">România </w:t>
      </w:r>
      <w:r w:rsidRPr="007C266E">
        <w:rPr>
          <w:rFonts w:ascii="Times New Roman" w:hAnsi="Times New Roman" w:cs="Times New Roman"/>
          <w:sz w:val="23"/>
          <w:szCs w:val="23"/>
          <w:lang w:val="ro-RO"/>
        </w:rPr>
        <w:t>v</w:t>
      </w:r>
      <w:r w:rsidR="00411BAE">
        <w:rPr>
          <w:rFonts w:ascii="Times New Roman" w:hAnsi="Times New Roman" w:cs="Times New Roman"/>
          <w:sz w:val="23"/>
          <w:szCs w:val="23"/>
          <w:lang w:val="ro-RO"/>
        </w:rPr>
        <w:t>a</w:t>
      </w:r>
      <w:r w:rsidRPr="007C266E">
        <w:rPr>
          <w:rFonts w:ascii="Times New Roman" w:hAnsi="Times New Roman" w:cs="Times New Roman"/>
          <w:sz w:val="23"/>
          <w:szCs w:val="23"/>
          <w:lang w:val="ro-RO"/>
        </w:rPr>
        <w:t xml:space="preserve"> face parte.</w:t>
      </w:r>
    </w:p>
    <w:p w14:paraId="13EC3604" w14:textId="77777777" w:rsidR="003F5093" w:rsidRPr="007C266E" w:rsidRDefault="003F5093" w:rsidP="00393588">
      <w:pPr>
        <w:spacing w:after="0" w:line="240" w:lineRule="auto"/>
        <w:jc w:val="both"/>
        <w:rPr>
          <w:rFonts w:ascii="Times New Roman" w:hAnsi="Times New Roman" w:cs="Times New Roman"/>
          <w:sz w:val="23"/>
          <w:szCs w:val="23"/>
          <w:lang w:val="ro-RO"/>
        </w:rPr>
      </w:pPr>
    </w:p>
    <w:p w14:paraId="67E0EA2D" w14:textId="77777777" w:rsidR="003F5093" w:rsidRPr="007C266E" w:rsidRDefault="003F5093"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Prin implementarea obiectivelor Strategiei Energetice, sistemul energetic național va fi mai puternic, mai sigur și mai stabil. Avem resursele energetice necesare, avem un mix energetic echilibrat și diversificat și avem determinarea de a face din România un furnizor de securitate energetică în regiune.</w:t>
      </w:r>
    </w:p>
    <w:p w14:paraId="3A84BF6D" w14:textId="77777777" w:rsidR="003F5093" w:rsidRPr="007C266E" w:rsidRDefault="003F5093" w:rsidP="00393588">
      <w:pPr>
        <w:spacing w:after="0" w:line="240" w:lineRule="auto"/>
        <w:jc w:val="both"/>
        <w:rPr>
          <w:rFonts w:ascii="Times New Roman" w:hAnsi="Times New Roman" w:cs="Times New Roman"/>
          <w:sz w:val="23"/>
          <w:szCs w:val="23"/>
          <w:lang w:val="ro-RO"/>
        </w:rPr>
      </w:pPr>
    </w:p>
    <w:p w14:paraId="11B094D6" w14:textId="77777777" w:rsidR="00F740F1" w:rsidRPr="007C266E" w:rsidRDefault="00F740F1" w:rsidP="00393588">
      <w:pPr>
        <w:spacing w:line="240" w:lineRule="auto"/>
        <w:rPr>
          <w:rFonts w:ascii="Times New Roman" w:hAnsi="Times New Roman" w:cs="Times New Roman"/>
          <w:sz w:val="23"/>
          <w:szCs w:val="23"/>
          <w:lang w:val="ro-RO"/>
        </w:rPr>
      </w:pPr>
      <w:r w:rsidRPr="007C266E">
        <w:rPr>
          <w:rFonts w:ascii="Times New Roman" w:hAnsi="Times New Roman" w:cs="Times New Roman"/>
          <w:sz w:val="23"/>
          <w:szCs w:val="23"/>
          <w:lang w:val="ro-RO"/>
        </w:rPr>
        <w:br w:type="page"/>
      </w:r>
    </w:p>
    <w:p w14:paraId="3E4AA039" w14:textId="77777777" w:rsidR="00445D61" w:rsidRPr="007C266E" w:rsidRDefault="00445D61" w:rsidP="00393588">
      <w:pPr>
        <w:pStyle w:val="Heading1"/>
        <w:spacing w:line="240" w:lineRule="auto"/>
        <w:rPr>
          <w:rFonts w:ascii="Times New Roman" w:hAnsi="Times New Roman" w:cs="Times New Roman"/>
          <w:sz w:val="23"/>
          <w:szCs w:val="23"/>
          <w:lang w:val="ro-RO"/>
        </w:rPr>
      </w:pPr>
      <w:bookmarkStart w:id="3" w:name="_Toc44400851"/>
      <w:r w:rsidRPr="007C266E">
        <w:rPr>
          <w:rFonts w:ascii="Times New Roman" w:hAnsi="Times New Roman" w:cs="Times New Roman"/>
          <w:sz w:val="23"/>
          <w:szCs w:val="23"/>
          <w:lang w:val="ro-RO"/>
        </w:rPr>
        <w:lastRenderedPageBreak/>
        <w:t>INTRODUCERE</w:t>
      </w:r>
      <w:bookmarkEnd w:id="3"/>
    </w:p>
    <w:p w14:paraId="4FF17350" w14:textId="77777777" w:rsidR="00445D61" w:rsidRPr="007C266E" w:rsidRDefault="00445D61" w:rsidP="00393588">
      <w:pPr>
        <w:spacing w:after="0" w:line="240" w:lineRule="auto"/>
        <w:rPr>
          <w:rFonts w:ascii="Times New Roman" w:hAnsi="Times New Roman" w:cs="Times New Roman"/>
          <w:sz w:val="23"/>
          <w:szCs w:val="23"/>
          <w:lang w:val="ro-RO"/>
        </w:rPr>
      </w:pPr>
    </w:p>
    <w:p w14:paraId="7CE19E46" w14:textId="77777777" w:rsidR="00445D61" w:rsidRPr="007C266E" w:rsidRDefault="00445D61" w:rsidP="00393588">
      <w:pPr>
        <w:spacing w:after="0" w:line="240" w:lineRule="auto"/>
        <w:jc w:val="both"/>
        <w:rPr>
          <w:rFonts w:ascii="Times New Roman" w:hAnsi="Times New Roman" w:cs="Times New Roman"/>
          <w:sz w:val="23"/>
          <w:szCs w:val="23"/>
          <w:lang w:val="ro-RO"/>
        </w:rPr>
        <w:sectPr w:rsidR="00445D61" w:rsidRPr="007C266E" w:rsidSect="0089425F">
          <w:headerReference w:type="even" r:id="rId10"/>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p w14:paraId="7681D7F1" w14:textId="77777777" w:rsidR="00445D61" w:rsidRPr="007C266E" w:rsidRDefault="00E6337D" w:rsidP="003935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Dezvoltarea</w:t>
      </w:r>
      <w:r w:rsidR="00445D61" w:rsidRPr="007C266E">
        <w:rPr>
          <w:rFonts w:ascii="Times New Roman" w:hAnsi="Times New Roman" w:cs="Times New Roman"/>
          <w:b/>
          <w:sz w:val="23"/>
          <w:szCs w:val="23"/>
          <w:lang w:val="ro-RO"/>
        </w:rPr>
        <w:t xml:space="preserve"> și creșterea competitivității economiei </w:t>
      </w:r>
      <w:r w:rsidR="00FB2E94" w:rsidRPr="007C266E">
        <w:rPr>
          <w:rFonts w:ascii="Times New Roman" w:hAnsi="Times New Roman" w:cs="Times New Roman"/>
          <w:b/>
          <w:sz w:val="23"/>
          <w:szCs w:val="23"/>
          <w:lang w:val="ro-RO"/>
        </w:rPr>
        <w:t>României</w:t>
      </w:r>
      <w:r w:rsidR="00445D61" w:rsidRPr="007C266E">
        <w:rPr>
          <w:rFonts w:ascii="Times New Roman" w:hAnsi="Times New Roman" w:cs="Times New Roman"/>
          <w:b/>
          <w:sz w:val="23"/>
          <w:szCs w:val="23"/>
          <w:lang w:val="ro-RO"/>
        </w:rPr>
        <w:t>, creșterea calității vieții și grija pentru mediul înconjurător sunt indisolubil legate de dezvoltarea și modernizarea sistemului energetic.</w:t>
      </w:r>
    </w:p>
    <w:p w14:paraId="6E4623C5" w14:textId="77777777" w:rsidR="00445D61" w:rsidRPr="007C266E" w:rsidRDefault="00445D61" w:rsidP="00393588">
      <w:pPr>
        <w:spacing w:after="0" w:line="240" w:lineRule="auto"/>
        <w:jc w:val="both"/>
        <w:rPr>
          <w:rFonts w:ascii="Times New Roman" w:hAnsi="Times New Roman" w:cs="Times New Roman"/>
          <w:sz w:val="23"/>
          <w:szCs w:val="23"/>
          <w:lang w:val="ro-RO"/>
        </w:rPr>
      </w:pPr>
    </w:p>
    <w:p w14:paraId="13D73A13" w14:textId="77777777" w:rsidR="00445D61" w:rsidRPr="007C266E" w:rsidRDefault="00445D6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România are resursele necesare creșterii sistemului energetic, iar acesta trebuie să fie pregătit să susțină dezvoltarea industriei și a agriculturii, a economiei în ansamblul său, precum și îmbunătățirea calității vieții atât în mediul urban, cât și în mediul rural. Aceste resurse trebuie valorificate pentru a trece dintr-o paradigmă a așteptării, într-una proactivă și curajoasă de dezvoltare, respectând, desigur, principiul durabilității. </w:t>
      </w:r>
    </w:p>
    <w:p w14:paraId="42DBA7F8" w14:textId="77777777" w:rsidR="00445D61" w:rsidRPr="007C266E" w:rsidRDefault="00445D61" w:rsidP="00393588">
      <w:pPr>
        <w:spacing w:after="0" w:line="240" w:lineRule="auto"/>
        <w:jc w:val="both"/>
        <w:rPr>
          <w:rFonts w:ascii="Times New Roman" w:hAnsi="Times New Roman" w:cs="Times New Roman"/>
          <w:sz w:val="23"/>
          <w:szCs w:val="23"/>
          <w:lang w:val="ro-RO"/>
        </w:rPr>
      </w:pPr>
    </w:p>
    <w:p w14:paraId="7FC7B05A" w14:textId="77777777" w:rsidR="00445D61" w:rsidRPr="007C266E" w:rsidRDefault="00445D6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b/>
          <w:sz w:val="23"/>
          <w:szCs w:val="23"/>
          <w:lang w:val="ro-RO"/>
        </w:rPr>
        <w:t>„Stra</w:t>
      </w:r>
      <w:r w:rsidR="00521764" w:rsidRPr="007C266E">
        <w:rPr>
          <w:rFonts w:ascii="Times New Roman" w:hAnsi="Times New Roman" w:cs="Times New Roman"/>
          <w:b/>
          <w:sz w:val="23"/>
          <w:szCs w:val="23"/>
          <w:lang w:val="ro-RO"/>
        </w:rPr>
        <w:t xml:space="preserve">tegia Energetică a României </w:t>
      </w:r>
      <w:r w:rsidR="007327E2" w:rsidRPr="007C266E">
        <w:rPr>
          <w:rFonts w:ascii="Times New Roman" w:hAnsi="Times New Roman" w:cs="Times New Roman"/>
          <w:b/>
          <w:sz w:val="23"/>
          <w:szCs w:val="23"/>
          <w:lang w:val="ro-RO"/>
        </w:rPr>
        <w:t>2020</w:t>
      </w:r>
      <w:r w:rsidRPr="007C266E">
        <w:rPr>
          <w:rFonts w:ascii="Times New Roman" w:hAnsi="Times New Roman" w:cs="Times New Roman"/>
          <w:b/>
          <w:sz w:val="23"/>
          <w:szCs w:val="23"/>
          <w:lang w:val="ro-RO"/>
        </w:rPr>
        <w:t>-2030, cu perspectiva anului 2050”</w:t>
      </w:r>
      <w:r w:rsidRPr="007C266E">
        <w:rPr>
          <w:rFonts w:ascii="Times New Roman" w:hAnsi="Times New Roman" w:cs="Times New Roman"/>
          <w:sz w:val="23"/>
          <w:szCs w:val="23"/>
          <w:lang w:val="ro-RO"/>
        </w:rPr>
        <w:t xml:space="preserve"> este un document programatic care definește viziunea și stabilește obiectivele fundamentale ale procesului de dezvoltare a sectorului energetic. De asemenea, documentul indică reperele naționale, europene și globale care influ</w:t>
      </w:r>
      <w:r w:rsidR="00E6337D" w:rsidRPr="007C266E">
        <w:rPr>
          <w:rFonts w:ascii="Times New Roman" w:hAnsi="Times New Roman" w:cs="Times New Roman"/>
          <w:sz w:val="23"/>
          <w:szCs w:val="23"/>
          <w:lang w:val="ro-RO"/>
        </w:rPr>
        <w:t>ențează și determină politicile</w:t>
      </w:r>
      <w:r w:rsidRPr="007C266E">
        <w:rPr>
          <w:rFonts w:ascii="Times New Roman" w:hAnsi="Times New Roman" w:cs="Times New Roman"/>
          <w:sz w:val="23"/>
          <w:szCs w:val="23"/>
          <w:lang w:val="ro-RO"/>
        </w:rPr>
        <w:t xml:space="preserve"> și deciziile din domeniul energetic.</w:t>
      </w:r>
    </w:p>
    <w:p w14:paraId="2AC5760A" w14:textId="77777777" w:rsidR="00445D61" w:rsidRPr="007C266E" w:rsidRDefault="00445D6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744E3585" w14:textId="77777777" w:rsidR="00C06144" w:rsidRPr="007C266E" w:rsidRDefault="00445D6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b/>
          <w:sz w:val="23"/>
          <w:szCs w:val="23"/>
          <w:lang w:val="ro-RO"/>
        </w:rPr>
        <w:t>Viziunea Strategiei Energetice a României</w:t>
      </w:r>
      <w:r w:rsidRPr="007C266E">
        <w:rPr>
          <w:rFonts w:ascii="Times New Roman" w:hAnsi="Times New Roman" w:cs="Times New Roman"/>
          <w:sz w:val="23"/>
          <w:szCs w:val="23"/>
          <w:lang w:val="ro-RO"/>
        </w:rPr>
        <w:t xml:space="preserve"> </w:t>
      </w:r>
      <w:r w:rsidRPr="007C266E">
        <w:rPr>
          <w:rFonts w:ascii="Times New Roman" w:hAnsi="Times New Roman" w:cs="Times New Roman"/>
          <w:b/>
          <w:i/>
          <w:sz w:val="23"/>
          <w:szCs w:val="23"/>
          <w:lang w:val="ro-RO"/>
        </w:rPr>
        <w:t xml:space="preserve">(Cap. I) </w:t>
      </w:r>
      <w:r w:rsidRPr="007C266E">
        <w:rPr>
          <w:rFonts w:ascii="Times New Roman" w:hAnsi="Times New Roman" w:cs="Times New Roman"/>
          <w:b/>
          <w:sz w:val="23"/>
          <w:szCs w:val="23"/>
          <w:lang w:val="ro-RO"/>
        </w:rPr>
        <w:t>este de creștere a sectorului energetic în condiții de sustenabilitate</w:t>
      </w:r>
      <w:r w:rsidR="00893642" w:rsidRPr="007C266E">
        <w:rPr>
          <w:rFonts w:ascii="Times New Roman" w:hAnsi="Times New Roman" w:cs="Times New Roman"/>
          <w:b/>
          <w:sz w:val="23"/>
          <w:szCs w:val="23"/>
          <w:lang w:val="ro-RO"/>
        </w:rPr>
        <w:t>,</w:t>
      </w:r>
      <w:r w:rsidR="008A755B" w:rsidRPr="007C266E">
        <w:rPr>
          <w:rFonts w:ascii="Times New Roman" w:hAnsi="Times New Roman" w:cs="Times New Roman"/>
          <w:b/>
          <w:sz w:val="23"/>
          <w:szCs w:val="23"/>
          <w:lang w:val="ro-RO"/>
        </w:rPr>
        <w:t xml:space="preserve"> </w:t>
      </w:r>
      <w:r w:rsidR="00405A9C" w:rsidRPr="007C266E">
        <w:rPr>
          <w:rFonts w:ascii="Times New Roman" w:hAnsi="Times New Roman" w:cs="Times New Roman"/>
          <w:b/>
          <w:sz w:val="23"/>
          <w:szCs w:val="23"/>
          <w:lang w:val="ro-RO"/>
        </w:rPr>
        <w:t xml:space="preserve">creștere economică și </w:t>
      </w:r>
      <w:r w:rsidR="00E6337D" w:rsidRPr="007C266E">
        <w:rPr>
          <w:rFonts w:ascii="Times New Roman" w:hAnsi="Times New Roman" w:cs="Times New Roman"/>
          <w:b/>
          <w:sz w:val="23"/>
          <w:szCs w:val="23"/>
          <w:lang w:val="ro-RO"/>
        </w:rPr>
        <w:t>accesibilitate</w:t>
      </w:r>
      <w:r w:rsidR="00405A9C" w:rsidRPr="007C266E">
        <w:rPr>
          <w:rFonts w:ascii="Times New Roman" w:hAnsi="Times New Roman" w:cs="Times New Roman"/>
          <w:b/>
          <w:sz w:val="23"/>
          <w:szCs w:val="23"/>
          <w:lang w:val="ro-RO"/>
        </w:rPr>
        <w:t xml:space="preserve">, în contextul implementării noului pachet legislativ </w:t>
      </w:r>
      <w:r w:rsidR="00405A9C" w:rsidRPr="007C266E">
        <w:rPr>
          <w:rFonts w:ascii="Times New Roman" w:hAnsi="Times New Roman" w:cs="Times New Roman"/>
          <w:b/>
          <w:i/>
          <w:sz w:val="23"/>
          <w:szCs w:val="23"/>
          <w:lang w:val="ro-RO"/>
        </w:rPr>
        <w:t>Energie curată pentru toți europenii 2030</w:t>
      </w:r>
      <w:r w:rsidR="00405A9C" w:rsidRPr="007C266E">
        <w:rPr>
          <w:rFonts w:ascii="Times New Roman" w:hAnsi="Times New Roman" w:cs="Times New Roman"/>
          <w:b/>
          <w:sz w:val="23"/>
          <w:szCs w:val="23"/>
          <w:lang w:val="ro-RO"/>
        </w:rPr>
        <w:t>, cu stabilirea țintel</w:t>
      </w:r>
      <w:r w:rsidR="00E6337D" w:rsidRPr="007C266E">
        <w:rPr>
          <w:rFonts w:ascii="Times New Roman" w:hAnsi="Times New Roman" w:cs="Times New Roman"/>
          <w:b/>
          <w:sz w:val="23"/>
          <w:szCs w:val="23"/>
          <w:lang w:val="ro-RO"/>
        </w:rPr>
        <w:t>or pentru reducerea</w:t>
      </w:r>
      <w:r w:rsidR="00405A9C" w:rsidRPr="007C266E">
        <w:rPr>
          <w:rFonts w:ascii="Times New Roman" w:hAnsi="Times New Roman" w:cs="Times New Roman"/>
          <w:b/>
          <w:sz w:val="23"/>
          <w:szCs w:val="23"/>
          <w:lang w:val="ro-RO"/>
        </w:rPr>
        <w:t xml:space="preserve"> emisiilor de gaze cu efect de seră, a surselor regenerabile de energie și a eficienței energetice precum și cu perspectiva implementării de către România a Pactului Ecologic European 2050. </w:t>
      </w:r>
      <w:r w:rsidRPr="007C266E">
        <w:rPr>
          <w:rFonts w:ascii="Times New Roman" w:hAnsi="Times New Roman" w:cs="Times New Roman"/>
          <w:sz w:val="23"/>
          <w:szCs w:val="23"/>
          <w:lang w:val="ro-RO"/>
        </w:rPr>
        <w:t xml:space="preserve">Dezvoltarea sectorului energetic este parte a procesului de dezvoltare a României. </w:t>
      </w:r>
      <w:r w:rsidR="008A755B" w:rsidRPr="007C266E">
        <w:rPr>
          <w:rFonts w:ascii="Times New Roman" w:hAnsi="Times New Roman" w:cs="Times New Roman"/>
          <w:sz w:val="23"/>
          <w:szCs w:val="23"/>
          <w:lang w:val="ro-RO"/>
        </w:rPr>
        <w:t>Creștere înseamnă</w:t>
      </w:r>
      <w:r w:rsidR="00405A9C" w:rsidRPr="007C266E">
        <w:rPr>
          <w:rFonts w:ascii="Times New Roman" w:hAnsi="Times New Roman" w:cs="Times New Roman"/>
          <w:sz w:val="23"/>
          <w:szCs w:val="23"/>
          <w:lang w:val="ro-RO"/>
        </w:rPr>
        <w:t>:</w:t>
      </w:r>
      <w:r w:rsidR="00386FB5" w:rsidRPr="007C266E">
        <w:rPr>
          <w:rFonts w:ascii="Times New Roman" w:hAnsi="Times New Roman" w:cs="Times New Roman"/>
          <w:sz w:val="23"/>
          <w:szCs w:val="23"/>
          <w:lang w:val="ro-RO"/>
        </w:rPr>
        <w:t xml:space="preserve"> </w:t>
      </w:r>
      <w:r w:rsidR="00405A9C" w:rsidRPr="007C266E">
        <w:rPr>
          <w:rFonts w:ascii="Times New Roman" w:hAnsi="Times New Roman" w:cs="Times New Roman"/>
          <w:sz w:val="23"/>
          <w:szCs w:val="23"/>
          <w:lang w:val="ro-RO"/>
        </w:rPr>
        <w:t xml:space="preserve">folosirea tehnologiilor inovatoare nepoluante în toate subsectoarele sistemului energetic și menținerea României ca stat furnizor de energie, factor de stablitate energetică în zona sud-europeană; </w:t>
      </w:r>
      <w:r w:rsidR="008A755B" w:rsidRPr="007C266E">
        <w:rPr>
          <w:rFonts w:ascii="Times New Roman" w:hAnsi="Times New Roman" w:cs="Times New Roman"/>
          <w:sz w:val="23"/>
          <w:szCs w:val="23"/>
          <w:lang w:val="ro-RO"/>
        </w:rPr>
        <w:t>construirea de noi capacități de producție bazate pe tehnologii de vârf nepoluante; tranziția de la combustibili solizi (cărbune, lignit, etc.) spre gaz natural și surse regenerabile de energie; retehnologizarea și modernizarea capacităților de producție existente și încadrarea lor în normele de mediu</w:t>
      </w:r>
      <w:r w:rsidR="00405A9C" w:rsidRPr="007C266E">
        <w:rPr>
          <w:rFonts w:ascii="Times New Roman" w:hAnsi="Times New Roman" w:cs="Times New Roman"/>
          <w:sz w:val="23"/>
          <w:szCs w:val="23"/>
          <w:lang w:val="ro-RO"/>
        </w:rPr>
        <w:t>,</w:t>
      </w:r>
      <w:r w:rsidR="007327E2" w:rsidRPr="007C266E">
        <w:rPr>
          <w:rFonts w:ascii="Times New Roman" w:hAnsi="Times New Roman" w:cs="Times New Roman"/>
          <w:sz w:val="23"/>
          <w:szCs w:val="23"/>
          <w:lang w:val="ro-RO"/>
        </w:rPr>
        <w:t xml:space="preserve"> </w:t>
      </w:r>
      <w:r w:rsidR="00405A9C" w:rsidRPr="007C266E">
        <w:rPr>
          <w:rFonts w:ascii="Times New Roman" w:hAnsi="Times New Roman" w:cs="Times New Roman"/>
          <w:sz w:val="23"/>
          <w:szCs w:val="23"/>
          <w:lang w:val="ro-RO"/>
        </w:rPr>
        <w:t xml:space="preserve">întărirea rețelelor de </w:t>
      </w:r>
      <w:r w:rsidR="008A755B" w:rsidRPr="007C266E">
        <w:rPr>
          <w:rFonts w:ascii="Times New Roman" w:hAnsi="Times New Roman" w:cs="Times New Roman"/>
          <w:sz w:val="23"/>
          <w:szCs w:val="23"/>
          <w:lang w:val="ro-RO"/>
        </w:rPr>
        <w:t xml:space="preserve">transport și distribuție de energie; încurajarea producerii de energie descentralizată; încurajarea creșterii consumului intern în condiții de eficiență energetică; export. </w:t>
      </w:r>
      <w:r w:rsidRPr="007C266E">
        <w:rPr>
          <w:rFonts w:ascii="Times New Roman" w:hAnsi="Times New Roman" w:cs="Times New Roman"/>
          <w:sz w:val="23"/>
          <w:szCs w:val="23"/>
          <w:lang w:val="ro-RO"/>
        </w:rPr>
        <w:t>Sistemul energetic național va fi astfel mai puternic, mai sigur și mai stabil</w:t>
      </w:r>
      <w:r w:rsidR="00EC1D8B" w:rsidRPr="007C266E">
        <w:rPr>
          <w:rFonts w:ascii="Times New Roman" w:hAnsi="Times New Roman" w:cs="Times New Roman"/>
          <w:sz w:val="23"/>
          <w:szCs w:val="23"/>
          <w:lang w:val="ro-RO"/>
        </w:rPr>
        <w:t xml:space="preserve"> iar România își va menține rolul de furnizor de securi</w:t>
      </w:r>
      <w:r w:rsidR="007327E2" w:rsidRPr="007C266E">
        <w:rPr>
          <w:rFonts w:ascii="Times New Roman" w:hAnsi="Times New Roman" w:cs="Times New Roman"/>
          <w:sz w:val="23"/>
          <w:szCs w:val="23"/>
          <w:lang w:val="ro-RO"/>
        </w:rPr>
        <w:t>t</w:t>
      </w:r>
      <w:r w:rsidR="00EC1D8B" w:rsidRPr="007C266E">
        <w:rPr>
          <w:rFonts w:ascii="Times New Roman" w:hAnsi="Times New Roman" w:cs="Times New Roman"/>
          <w:sz w:val="23"/>
          <w:szCs w:val="23"/>
          <w:lang w:val="ro-RO"/>
        </w:rPr>
        <w:t>ate energetică în regiune</w:t>
      </w:r>
      <w:r w:rsidRPr="007C266E">
        <w:rPr>
          <w:rFonts w:ascii="Times New Roman" w:hAnsi="Times New Roman" w:cs="Times New Roman"/>
          <w:sz w:val="23"/>
          <w:szCs w:val="23"/>
          <w:lang w:val="ro-RO"/>
        </w:rPr>
        <w:t>.</w:t>
      </w:r>
      <w:r w:rsidR="00C06144" w:rsidRPr="007C266E">
        <w:rPr>
          <w:rFonts w:ascii="Times New Roman" w:hAnsi="Times New Roman" w:cs="Times New Roman"/>
          <w:sz w:val="23"/>
          <w:szCs w:val="23"/>
          <w:lang w:val="ro-RO"/>
        </w:rPr>
        <w:t xml:space="preserve"> Un aspect important al dezvoltării sectorului energetic românesc va fi</w:t>
      </w:r>
      <w:r w:rsidR="00076643" w:rsidRPr="007C266E">
        <w:rPr>
          <w:rFonts w:ascii="Times New Roman" w:hAnsi="Times New Roman" w:cs="Times New Roman"/>
          <w:sz w:val="23"/>
          <w:szCs w:val="23"/>
          <w:lang w:val="ro-RO"/>
        </w:rPr>
        <w:t>,</w:t>
      </w:r>
      <w:r w:rsidR="00C06144" w:rsidRPr="007C266E">
        <w:rPr>
          <w:rFonts w:ascii="Times New Roman" w:hAnsi="Times New Roman" w:cs="Times New Roman"/>
          <w:sz w:val="23"/>
          <w:szCs w:val="23"/>
          <w:lang w:val="ro-RO"/>
        </w:rPr>
        <w:t xml:space="preserve"> de asemenea</w:t>
      </w:r>
      <w:r w:rsidR="00076643" w:rsidRPr="007C266E">
        <w:rPr>
          <w:rFonts w:ascii="Times New Roman" w:hAnsi="Times New Roman" w:cs="Times New Roman"/>
          <w:sz w:val="23"/>
          <w:szCs w:val="23"/>
          <w:lang w:val="ro-RO"/>
        </w:rPr>
        <w:t>,</w:t>
      </w:r>
      <w:r w:rsidR="00C06144" w:rsidRPr="007C266E">
        <w:rPr>
          <w:rFonts w:ascii="Times New Roman" w:hAnsi="Times New Roman" w:cs="Times New Roman"/>
          <w:sz w:val="23"/>
          <w:szCs w:val="23"/>
          <w:lang w:val="ro-RO"/>
        </w:rPr>
        <w:t xml:space="preserve"> asigurarea unei tranziții energetice echitabile prin gestionarea efectelor sociale și economice ale tranziției.</w:t>
      </w:r>
    </w:p>
    <w:p w14:paraId="776831FD" w14:textId="77777777" w:rsidR="00445D61" w:rsidRPr="007C266E" w:rsidRDefault="00445D61" w:rsidP="00393588">
      <w:pPr>
        <w:spacing w:after="0" w:line="240" w:lineRule="auto"/>
        <w:jc w:val="both"/>
        <w:rPr>
          <w:rFonts w:ascii="Times New Roman" w:hAnsi="Times New Roman" w:cs="Times New Roman"/>
          <w:sz w:val="23"/>
          <w:szCs w:val="23"/>
          <w:lang w:val="ro-RO"/>
        </w:rPr>
      </w:pPr>
    </w:p>
    <w:p w14:paraId="7352AEB8" w14:textId="77777777" w:rsidR="00F740F1" w:rsidRPr="007C266E" w:rsidRDefault="00445D6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Strategia Energetică are </w:t>
      </w:r>
      <w:r w:rsidR="00527E96" w:rsidRPr="007C266E">
        <w:rPr>
          <w:rFonts w:ascii="Times New Roman" w:hAnsi="Times New Roman" w:cs="Times New Roman"/>
          <w:b/>
          <w:sz w:val="23"/>
          <w:szCs w:val="23"/>
          <w:lang w:val="ro-RO"/>
        </w:rPr>
        <w:t>opt</w:t>
      </w:r>
      <w:r w:rsidRPr="007C266E">
        <w:rPr>
          <w:rFonts w:ascii="Times New Roman" w:hAnsi="Times New Roman" w:cs="Times New Roman"/>
          <w:b/>
          <w:sz w:val="23"/>
          <w:szCs w:val="23"/>
          <w:lang w:val="ro-RO"/>
        </w:rPr>
        <w:t xml:space="preserve"> obiective strategice fundamentale</w:t>
      </w:r>
      <w:r w:rsidRPr="007C266E">
        <w:rPr>
          <w:rFonts w:ascii="Times New Roman" w:hAnsi="Times New Roman" w:cs="Times New Roman"/>
          <w:sz w:val="23"/>
          <w:szCs w:val="23"/>
          <w:lang w:val="ro-RO"/>
        </w:rPr>
        <w:t xml:space="preserve"> </w:t>
      </w:r>
      <w:r w:rsidRPr="007C266E">
        <w:rPr>
          <w:rFonts w:ascii="Times New Roman" w:hAnsi="Times New Roman" w:cs="Times New Roman"/>
          <w:b/>
          <w:i/>
          <w:sz w:val="23"/>
          <w:szCs w:val="23"/>
          <w:lang w:val="ro-RO"/>
        </w:rPr>
        <w:t>(Cap. II)</w:t>
      </w:r>
      <w:r w:rsidRPr="007C266E">
        <w:rPr>
          <w:rFonts w:ascii="Times New Roman" w:hAnsi="Times New Roman" w:cs="Times New Roman"/>
          <w:sz w:val="23"/>
          <w:szCs w:val="23"/>
          <w:lang w:val="ro-RO"/>
        </w:rPr>
        <w:t xml:space="preserve"> care structurează întregul demers de analiză și </w:t>
      </w:r>
      <w:r w:rsidR="00521764" w:rsidRPr="007C266E">
        <w:rPr>
          <w:rFonts w:ascii="Times New Roman" w:hAnsi="Times New Roman" w:cs="Times New Roman"/>
          <w:sz w:val="23"/>
          <w:szCs w:val="23"/>
          <w:lang w:val="ro-RO"/>
        </w:rPr>
        <w:t xml:space="preserve">planificare pentru perioada </w:t>
      </w:r>
      <w:r w:rsidR="007327E2" w:rsidRPr="007C266E">
        <w:rPr>
          <w:rFonts w:ascii="Times New Roman" w:hAnsi="Times New Roman" w:cs="Times New Roman"/>
          <w:sz w:val="23"/>
          <w:szCs w:val="23"/>
          <w:lang w:val="ro-RO"/>
        </w:rPr>
        <w:t>2020</w:t>
      </w:r>
      <w:r w:rsidRPr="007C266E">
        <w:rPr>
          <w:rFonts w:ascii="Times New Roman" w:hAnsi="Times New Roman" w:cs="Times New Roman"/>
          <w:sz w:val="23"/>
          <w:szCs w:val="23"/>
          <w:lang w:val="ro-RO"/>
        </w:rPr>
        <w:t xml:space="preserve">-2030 și orizontul de timp al anului 2050. Realizarea obiectivelor presupune o abordare echilibrată a dezvoltării sectorului energetic național atât din perspectiva reglementărilor naționale și europene, cât și din cea a cheltuielilor de investiții. </w:t>
      </w:r>
      <w:r w:rsidR="00656E41" w:rsidRPr="007C266E">
        <w:rPr>
          <w:rFonts w:ascii="Times New Roman" w:hAnsi="Times New Roman" w:cs="Times New Roman"/>
          <w:sz w:val="23"/>
          <w:szCs w:val="23"/>
          <w:lang w:val="ro-RO"/>
        </w:rPr>
        <w:t xml:space="preserve">Obiectivele strategiei sprijină </w:t>
      </w:r>
      <w:r w:rsidR="00F740F1" w:rsidRPr="007C266E">
        <w:rPr>
          <w:rFonts w:ascii="Times New Roman" w:hAnsi="Times New Roman" w:cs="Times New Roman"/>
          <w:sz w:val="23"/>
          <w:szCs w:val="23"/>
          <w:lang w:val="ro-RO"/>
        </w:rPr>
        <w:t xml:space="preserve">realizarea </w:t>
      </w:r>
      <w:r w:rsidR="002528F1" w:rsidRPr="007C266E">
        <w:rPr>
          <w:rFonts w:ascii="Times New Roman" w:hAnsi="Times New Roman" w:cs="Times New Roman"/>
          <w:sz w:val="23"/>
          <w:szCs w:val="23"/>
          <w:lang w:val="ro-RO"/>
        </w:rPr>
        <w:t xml:space="preserve">țintelor naționale </w:t>
      </w:r>
      <w:r w:rsidR="007327E2" w:rsidRPr="007C266E">
        <w:rPr>
          <w:rFonts w:ascii="Times New Roman" w:hAnsi="Times New Roman" w:cs="Times New Roman"/>
          <w:sz w:val="23"/>
          <w:szCs w:val="23"/>
          <w:lang w:val="ro-RO"/>
        </w:rPr>
        <w:t xml:space="preserve">asumate </w:t>
      </w:r>
      <w:r w:rsidR="002528F1" w:rsidRPr="007C266E">
        <w:rPr>
          <w:rFonts w:ascii="Times New Roman" w:hAnsi="Times New Roman" w:cs="Times New Roman"/>
          <w:sz w:val="23"/>
          <w:szCs w:val="23"/>
          <w:lang w:val="ro-RO"/>
        </w:rPr>
        <w:t>la nivelul anului 2030:</w:t>
      </w:r>
    </w:p>
    <w:p w14:paraId="4605B3C4" w14:textId="77777777" w:rsidR="00980847" w:rsidRPr="007C266E" w:rsidRDefault="00D11C73" w:rsidP="002500F7">
      <w:pPr>
        <w:pStyle w:val="ListParagraph"/>
        <w:numPr>
          <w:ilvl w:val="0"/>
          <w:numId w:val="10"/>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43,9% reducere a emisiilor aferente sectoarelor ETS față de nivelul anului 2005, respectiv </w:t>
      </w:r>
      <w:r w:rsidR="007327E2" w:rsidRPr="007C266E">
        <w:rPr>
          <w:rFonts w:ascii="Times New Roman" w:hAnsi="Times New Roman" w:cs="Times New Roman"/>
          <w:sz w:val="23"/>
          <w:szCs w:val="23"/>
          <w:lang w:val="ro-RO"/>
        </w:rPr>
        <w:t xml:space="preserve">cu </w:t>
      </w:r>
      <w:r w:rsidRPr="007C266E">
        <w:rPr>
          <w:rFonts w:ascii="Times New Roman" w:hAnsi="Times New Roman" w:cs="Times New Roman"/>
          <w:sz w:val="23"/>
          <w:szCs w:val="23"/>
          <w:lang w:val="ro-RO"/>
        </w:rPr>
        <w:t>2% a emisiilor aferente sectoarelor non-ETS față de nivelul anului 2005</w:t>
      </w:r>
      <w:r w:rsidR="00DC2BE3" w:rsidRPr="007C266E">
        <w:rPr>
          <w:rFonts w:ascii="Times New Roman" w:hAnsi="Times New Roman" w:cs="Times New Roman"/>
          <w:sz w:val="23"/>
          <w:szCs w:val="23"/>
          <w:lang w:val="ro-RO"/>
        </w:rPr>
        <w:t>;</w:t>
      </w:r>
    </w:p>
    <w:p w14:paraId="63CE47D5" w14:textId="77777777" w:rsidR="002528F1" w:rsidRPr="007C266E" w:rsidRDefault="002528F1" w:rsidP="002500F7">
      <w:pPr>
        <w:pStyle w:val="ListParagraph"/>
        <w:numPr>
          <w:ilvl w:val="0"/>
          <w:numId w:val="10"/>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30,7 % pondere a energiei din surse regenerabile în consumul final brut de energie</w:t>
      </w:r>
      <w:r w:rsidR="00DC2BE3"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w:t>
      </w:r>
    </w:p>
    <w:p w14:paraId="7BA6AA37" w14:textId="77777777" w:rsidR="002528F1" w:rsidRPr="007C266E" w:rsidRDefault="00BC2543" w:rsidP="002500F7">
      <w:pPr>
        <w:pStyle w:val="ListParagraph"/>
        <w:numPr>
          <w:ilvl w:val="0"/>
          <w:numId w:val="10"/>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40,4% reducere a consumului final de energie față de proiecția PRIMES 2007</w:t>
      </w:r>
      <w:r w:rsidR="00076643" w:rsidRPr="007C266E">
        <w:rPr>
          <w:rFonts w:ascii="Times New Roman" w:hAnsi="Times New Roman" w:cs="Times New Roman"/>
          <w:sz w:val="23"/>
          <w:szCs w:val="23"/>
          <w:lang w:val="ro-RO"/>
        </w:rPr>
        <w:t>.</w:t>
      </w:r>
    </w:p>
    <w:p w14:paraId="43DCF924" w14:textId="77777777" w:rsidR="00DC392B" w:rsidRPr="007C266E" w:rsidRDefault="00DC392B" w:rsidP="00DC392B">
      <w:pPr>
        <w:pStyle w:val="ListParagraph"/>
        <w:spacing w:after="0" w:line="240" w:lineRule="auto"/>
        <w:jc w:val="both"/>
        <w:rPr>
          <w:rFonts w:ascii="Times New Roman" w:hAnsi="Times New Roman" w:cs="Times New Roman"/>
          <w:sz w:val="23"/>
          <w:szCs w:val="23"/>
          <w:lang w:val="ro-RO"/>
        </w:rPr>
      </w:pPr>
    </w:p>
    <w:p w14:paraId="42314868" w14:textId="77777777" w:rsidR="00054C49" w:rsidRDefault="00054C49" w:rsidP="00393588">
      <w:pPr>
        <w:spacing w:after="0" w:line="240" w:lineRule="auto"/>
        <w:jc w:val="both"/>
        <w:rPr>
          <w:rFonts w:ascii="Times New Roman" w:hAnsi="Times New Roman" w:cs="Times New Roman"/>
          <w:b/>
          <w:sz w:val="23"/>
          <w:szCs w:val="23"/>
          <w:lang w:val="ro-RO"/>
        </w:rPr>
      </w:pPr>
    </w:p>
    <w:p w14:paraId="77B39778" w14:textId="77777777" w:rsidR="00054C49" w:rsidRDefault="00054C49" w:rsidP="00393588">
      <w:pPr>
        <w:spacing w:after="0" w:line="240" w:lineRule="auto"/>
        <w:jc w:val="both"/>
        <w:rPr>
          <w:rFonts w:ascii="Times New Roman" w:hAnsi="Times New Roman" w:cs="Times New Roman"/>
          <w:b/>
          <w:sz w:val="23"/>
          <w:szCs w:val="23"/>
          <w:lang w:val="ro-RO"/>
        </w:rPr>
      </w:pPr>
    </w:p>
    <w:p w14:paraId="0F4EA8FB" w14:textId="77777777" w:rsidR="00445D61" w:rsidRPr="007C266E" w:rsidRDefault="00445D61" w:rsidP="00393588">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lastRenderedPageBreak/>
        <w:t>Obiectivele Strategiei Energetice sunt:</w:t>
      </w:r>
    </w:p>
    <w:p w14:paraId="7DA336A8" w14:textId="77777777" w:rsidR="002500F7" w:rsidRPr="007C266E" w:rsidRDefault="002500F7" w:rsidP="002500F7">
      <w:pPr>
        <w:pStyle w:val="ListParagraph"/>
        <w:numPr>
          <w:ilvl w:val="0"/>
          <w:numId w:val="9"/>
        </w:num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Asigurarea accesului la energie electrică și termică pentru toți consumatorii;</w:t>
      </w:r>
    </w:p>
    <w:p w14:paraId="7ADC29B2" w14:textId="77777777" w:rsidR="002500F7" w:rsidRPr="007C266E" w:rsidRDefault="002500F7" w:rsidP="002500F7">
      <w:pPr>
        <w:pStyle w:val="ListParagraph"/>
        <w:numPr>
          <w:ilvl w:val="0"/>
          <w:numId w:val="9"/>
        </w:num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Energie curată și eficiență energetică;</w:t>
      </w:r>
    </w:p>
    <w:p w14:paraId="57B562EC" w14:textId="77777777" w:rsidR="00F94A48" w:rsidRPr="007C266E" w:rsidRDefault="00F94A48" w:rsidP="002500F7">
      <w:pPr>
        <w:pStyle w:val="ListParagraph"/>
        <w:numPr>
          <w:ilvl w:val="0"/>
          <w:numId w:val="9"/>
        </w:num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Modernizarea sistemului de guvernanță </w:t>
      </w:r>
      <w:r w:rsidR="00471096" w:rsidRPr="007C266E">
        <w:rPr>
          <w:rFonts w:ascii="Times New Roman" w:hAnsi="Times New Roman" w:cs="Times New Roman"/>
          <w:b/>
          <w:sz w:val="23"/>
          <w:szCs w:val="23"/>
          <w:lang w:val="ro-RO"/>
        </w:rPr>
        <w:t>corporativă și a capacității instituționale de reglementare</w:t>
      </w:r>
      <w:r w:rsidRPr="007C266E">
        <w:rPr>
          <w:rFonts w:ascii="Times New Roman" w:hAnsi="Times New Roman" w:cs="Times New Roman"/>
          <w:b/>
          <w:sz w:val="23"/>
          <w:szCs w:val="23"/>
          <w:lang w:val="ro-RO"/>
        </w:rPr>
        <w:t>;</w:t>
      </w:r>
    </w:p>
    <w:p w14:paraId="7D1DEAAD" w14:textId="77777777" w:rsidR="00086B27" w:rsidRPr="007C266E" w:rsidRDefault="00086B27" w:rsidP="002500F7">
      <w:pPr>
        <w:pStyle w:val="ListParagraph"/>
        <w:numPr>
          <w:ilvl w:val="0"/>
          <w:numId w:val="9"/>
        </w:num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Protecția consumatorului vulnerabil și reducerea sărăciei energetice;</w:t>
      </w:r>
    </w:p>
    <w:p w14:paraId="7FC0F138" w14:textId="77777777" w:rsidR="00086B27" w:rsidRPr="007C266E" w:rsidRDefault="00086B27" w:rsidP="002500F7">
      <w:pPr>
        <w:pStyle w:val="ListParagraph"/>
        <w:numPr>
          <w:ilvl w:val="0"/>
          <w:numId w:val="9"/>
        </w:num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Piețe de energie competitive, baza unei economii competitive;</w:t>
      </w:r>
    </w:p>
    <w:p w14:paraId="27F2F3A5" w14:textId="77777777" w:rsidR="00086B27" w:rsidRPr="007C266E" w:rsidRDefault="00086B27" w:rsidP="002500F7">
      <w:pPr>
        <w:pStyle w:val="ListParagraph"/>
        <w:numPr>
          <w:ilvl w:val="0"/>
          <w:numId w:val="9"/>
        </w:num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Creșterea calității învățământului în domeniul  energiei și formarea continuă a resursei umane</w:t>
      </w:r>
      <w:r w:rsidR="00EC1D8B" w:rsidRPr="007C266E">
        <w:rPr>
          <w:rFonts w:ascii="Times New Roman" w:hAnsi="Times New Roman" w:cs="Times New Roman"/>
          <w:b/>
          <w:sz w:val="23"/>
          <w:szCs w:val="23"/>
          <w:lang w:val="ro-RO"/>
        </w:rPr>
        <w:t xml:space="preserve"> calificate</w:t>
      </w:r>
      <w:r w:rsidRPr="007C266E">
        <w:rPr>
          <w:rFonts w:ascii="Times New Roman" w:hAnsi="Times New Roman" w:cs="Times New Roman"/>
          <w:b/>
          <w:sz w:val="23"/>
          <w:szCs w:val="23"/>
          <w:lang w:val="ro-RO"/>
        </w:rPr>
        <w:t>;</w:t>
      </w:r>
    </w:p>
    <w:p w14:paraId="2E79D5FD" w14:textId="77777777" w:rsidR="00086B27" w:rsidRPr="007C266E" w:rsidRDefault="00086B27" w:rsidP="002500F7">
      <w:pPr>
        <w:pStyle w:val="ListParagraph"/>
        <w:numPr>
          <w:ilvl w:val="0"/>
          <w:numId w:val="9"/>
        </w:num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România, furnizor regional de securitate energetică;</w:t>
      </w:r>
    </w:p>
    <w:p w14:paraId="1313049C" w14:textId="77777777" w:rsidR="00445D61" w:rsidRPr="007C266E" w:rsidRDefault="00445D61" w:rsidP="002500F7">
      <w:pPr>
        <w:pStyle w:val="ListParagraph"/>
        <w:numPr>
          <w:ilvl w:val="0"/>
          <w:numId w:val="9"/>
        </w:num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Creșterea aportului energetic al României pe piețele regionale și europene prin valorificarea resursel</w:t>
      </w:r>
      <w:r w:rsidR="00086B27" w:rsidRPr="007C266E">
        <w:rPr>
          <w:rFonts w:ascii="Times New Roman" w:hAnsi="Times New Roman" w:cs="Times New Roman"/>
          <w:b/>
          <w:sz w:val="23"/>
          <w:szCs w:val="23"/>
          <w:lang w:val="ro-RO"/>
        </w:rPr>
        <w:t>or energetice primare naționale.</w:t>
      </w:r>
    </w:p>
    <w:p w14:paraId="5BA482E7" w14:textId="77777777" w:rsidR="00A823A1" w:rsidRPr="007C266E" w:rsidRDefault="00A823A1" w:rsidP="009E5804">
      <w:pPr>
        <w:pStyle w:val="ListParagraph"/>
        <w:spacing w:after="0" w:line="240" w:lineRule="auto"/>
        <w:jc w:val="both"/>
        <w:rPr>
          <w:rFonts w:ascii="Times New Roman" w:hAnsi="Times New Roman" w:cs="Times New Roman"/>
          <w:b/>
          <w:sz w:val="23"/>
          <w:szCs w:val="23"/>
          <w:lang w:val="ro-RO"/>
        </w:rPr>
      </w:pPr>
    </w:p>
    <w:p w14:paraId="513EB487" w14:textId="77777777" w:rsidR="00445D61" w:rsidRPr="007C266E" w:rsidRDefault="00445D6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Obiectivele strategice vor fi îndeplinite în mod simultan printr-un set de obiective operaționale ce au subsumate o serie de acțiuni prioritare concrete</w:t>
      </w:r>
      <w:r w:rsidR="007327E2" w:rsidRPr="007C266E">
        <w:rPr>
          <w:rFonts w:ascii="Times New Roman" w:hAnsi="Times New Roman" w:cs="Times New Roman"/>
          <w:sz w:val="23"/>
          <w:szCs w:val="23"/>
          <w:lang w:val="ro-RO"/>
        </w:rPr>
        <w:t xml:space="preserve"> </w:t>
      </w:r>
      <w:r w:rsidRPr="007C266E">
        <w:rPr>
          <w:rFonts w:ascii="Times New Roman" w:hAnsi="Times New Roman" w:cs="Times New Roman"/>
          <w:i/>
          <w:sz w:val="23"/>
          <w:szCs w:val="23"/>
          <w:lang w:val="ro-RO"/>
        </w:rPr>
        <w:t>(Cap. V)</w:t>
      </w:r>
      <w:r w:rsidR="007327E2" w:rsidRPr="007C266E">
        <w:rPr>
          <w:rFonts w:ascii="Times New Roman" w:hAnsi="Times New Roman" w:cs="Times New Roman"/>
          <w:i/>
          <w:sz w:val="23"/>
          <w:szCs w:val="23"/>
          <w:lang w:val="ro-RO"/>
        </w:rPr>
        <w:t>.</w:t>
      </w:r>
    </w:p>
    <w:p w14:paraId="6DA08C5C" w14:textId="77777777" w:rsidR="00445D61" w:rsidRPr="007C266E" w:rsidRDefault="00445D61" w:rsidP="00393588">
      <w:pPr>
        <w:spacing w:after="0" w:line="240" w:lineRule="auto"/>
        <w:jc w:val="both"/>
        <w:rPr>
          <w:rFonts w:ascii="Times New Roman" w:hAnsi="Times New Roman" w:cs="Times New Roman"/>
          <w:sz w:val="23"/>
          <w:szCs w:val="23"/>
          <w:lang w:val="ro-RO"/>
        </w:rPr>
      </w:pPr>
    </w:p>
    <w:p w14:paraId="4335A626" w14:textId="77777777" w:rsidR="00445D61" w:rsidRPr="007C266E" w:rsidRDefault="00445D6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Conform viziunii și celor </w:t>
      </w:r>
      <w:r w:rsidR="00527E96" w:rsidRPr="007C266E">
        <w:rPr>
          <w:rFonts w:ascii="Times New Roman" w:hAnsi="Times New Roman" w:cs="Times New Roman"/>
          <w:sz w:val="23"/>
          <w:szCs w:val="23"/>
          <w:lang w:val="ro-RO"/>
        </w:rPr>
        <w:t>opt</w:t>
      </w:r>
      <w:r w:rsidRPr="007C266E">
        <w:rPr>
          <w:rFonts w:ascii="Times New Roman" w:hAnsi="Times New Roman" w:cs="Times New Roman"/>
          <w:sz w:val="23"/>
          <w:szCs w:val="23"/>
          <w:lang w:val="ro-RO"/>
        </w:rPr>
        <w:t xml:space="preserve"> obiective fundamentale ale Strategiei, dezvoltarea sectorului energetic este direct proporțională cu realizarea proiecte</w:t>
      </w:r>
      <w:r w:rsidR="00BA6A67" w:rsidRPr="007C266E">
        <w:rPr>
          <w:rFonts w:ascii="Times New Roman" w:hAnsi="Times New Roman" w:cs="Times New Roman"/>
          <w:sz w:val="23"/>
          <w:szCs w:val="23"/>
          <w:lang w:val="ro-RO"/>
        </w:rPr>
        <w:t>lor</w:t>
      </w:r>
      <w:r w:rsidRPr="007C266E">
        <w:rPr>
          <w:rFonts w:ascii="Times New Roman" w:hAnsi="Times New Roman" w:cs="Times New Roman"/>
          <w:sz w:val="23"/>
          <w:szCs w:val="23"/>
          <w:lang w:val="ro-RO"/>
        </w:rPr>
        <w:t xml:space="preserve"> de investiţii </w:t>
      </w:r>
      <w:r w:rsidR="00BA6A67" w:rsidRPr="007C266E">
        <w:rPr>
          <w:rFonts w:ascii="Times New Roman" w:hAnsi="Times New Roman" w:cs="Times New Roman"/>
          <w:sz w:val="23"/>
          <w:szCs w:val="23"/>
          <w:lang w:val="ro-RO"/>
        </w:rPr>
        <w:t>în sistemul energetic românesc. Producerea de energie electrică bazată pe tehnologii cu emisii reduse de carbon, în care trecerea de la comb</w:t>
      </w:r>
      <w:r w:rsidR="007327E2" w:rsidRPr="007C266E">
        <w:rPr>
          <w:rFonts w:ascii="Times New Roman" w:hAnsi="Times New Roman" w:cs="Times New Roman"/>
          <w:sz w:val="23"/>
          <w:szCs w:val="23"/>
          <w:lang w:val="ro-RO"/>
        </w:rPr>
        <w:t>u</w:t>
      </w:r>
      <w:r w:rsidR="00BA6A67" w:rsidRPr="007C266E">
        <w:rPr>
          <w:rFonts w:ascii="Times New Roman" w:hAnsi="Times New Roman" w:cs="Times New Roman"/>
          <w:sz w:val="23"/>
          <w:szCs w:val="23"/>
          <w:lang w:val="ro-RO"/>
        </w:rPr>
        <w:t xml:space="preserve">stibilii fosili </w:t>
      </w:r>
      <w:r w:rsidR="00023CF4" w:rsidRPr="007C266E">
        <w:rPr>
          <w:rFonts w:ascii="Times New Roman" w:hAnsi="Times New Roman" w:cs="Times New Roman"/>
          <w:sz w:val="23"/>
          <w:szCs w:val="23"/>
          <w:lang w:val="ro-RO"/>
        </w:rPr>
        <w:t xml:space="preserve">solizi </w:t>
      </w:r>
      <w:r w:rsidR="00BA6A67" w:rsidRPr="007C266E">
        <w:rPr>
          <w:rFonts w:ascii="Times New Roman" w:hAnsi="Times New Roman" w:cs="Times New Roman"/>
          <w:sz w:val="23"/>
          <w:szCs w:val="23"/>
          <w:lang w:val="ro-RO"/>
        </w:rPr>
        <w:t xml:space="preserve">la gaze naturale, ca și combustibil de tranziție, surse regenerabile de energie și sursa nucleară reprezintă proiecte prioritare, </w:t>
      </w:r>
      <w:r w:rsidR="007327E2" w:rsidRPr="007C266E">
        <w:rPr>
          <w:rFonts w:ascii="Times New Roman" w:hAnsi="Times New Roman" w:cs="Times New Roman"/>
          <w:sz w:val="23"/>
          <w:szCs w:val="23"/>
          <w:lang w:val="ro-RO"/>
        </w:rPr>
        <w:t>respectiv</w:t>
      </w:r>
      <w:r w:rsidR="00BA6A67" w:rsidRPr="007C266E">
        <w:rPr>
          <w:rFonts w:ascii="Times New Roman" w:hAnsi="Times New Roman" w:cs="Times New Roman"/>
          <w:sz w:val="23"/>
          <w:szCs w:val="23"/>
          <w:lang w:val="ro-RO"/>
        </w:rPr>
        <w:t xml:space="preserve"> proiectele de </w:t>
      </w:r>
      <w:r w:rsidR="007327E2" w:rsidRPr="007C266E">
        <w:rPr>
          <w:rFonts w:ascii="Times New Roman" w:hAnsi="Times New Roman" w:cs="Times New Roman"/>
          <w:sz w:val="23"/>
          <w:szCs w:val="23"/>
          <w:lang w:val="ro-RO"/>
        </w:rPr>
        <w:t>digitalizare a rețelelor</w:t>
      </w:r>
      <w:r w:rsidR="00BA6A67" w:rsidRPr="007C266E">
        <w:rPr>
          <w:rFonts w:ascii="Times New Roman" w:hAnsi="Times New Roman" w:cs="Times New Roman"/>
          <w:sz w:val="23"/>
          <w:szCs w:val="23"/>
          <w:lang w:val="ro-RO"/>
        </w:rPr>
        <w:t>, stocarea, utilizarea hidrogenului și măsuri</w:t>
      </w:r>
      <w:r w:rsidR="00CE5069" w:rsidRPr="007C266E">
        <w:rPr>
          <w:rFonts w:ascii="Times New Roman" w:hAnsi="Times New Roman" w:cs="Times New Roman"/>
          <w:sz w:val="23"/>
          <w:szCs w:val="23"/>
          <w:lang w:val="ro-RO"/>
        </w:rPr>
        <w:t>le</w:t>
      </w:r>
      <w:r w:rsidR="00BA6A67" w:rsidRPr="007C266E">
        <w:rPr>
          <w:rFonts w:ascii="Times New Roman" w:hAnsi="Times New Roman" w:cs="Times New Roman"/>
          <w:sz w:val="23"/>
          <w:szCs w:val="23"/>
          <w:lang w:val="ro-RO"/>
        </w:rPr>
        <w:t xml:space="preserve"> de eficien</w:t>
      </w:r>
      <w:r w:rsidR="007327E2" w:rsidRPr="007C266E">
        <w:rPr>
          <w:rFonts w:ascii="Times New Roman" w:hAnsi="Times New Roman" w:cs="Times New Roman"/>
          <w:sz w:val="23"/>
          <w:szCs w:val="23"/>
          <w:lang w:val="ro-RO"/>
        </w:rPr>
        <w:t>ț</w:t>
      </w:r>
      <w:r w:rsidR="00BA6A67" w:rsidRPr="007C266E">
        <w:rPr>
          <w:rFonts w:ascii="Times New Roman" w:hAnsi="Times New Roman" w:cs="Times New Roman"/>
          <w:sz w:val="23"/>
          <w:szCs w:val="23"/>
          <w:lang w:val="ro-RO"/>
        </w:rPr>
        <w:t xml:space="preserve">ă energetică vor contribui la atingerea obiectivelor fundamentale </w:t>
      </w:r>
      <w:r w:rsidRPr="007C266E">
        <w:rPr>
          <w:rFonts w:ascii="Times New Roman" w:hAnsi="Times New Roman" w:cs="Times New Roman"/>
          <w:sz w:val="23"/>
          <w:szCs w:val="23"/>
          <w:lang w:val="ro-RO"/>
        </w:rPr>
        <w:t>strategice de interes naţional</w:t>
      </w:r>
      <w:r w:rsidR="00CE5069" w:rsidRPr="007C266E">
        <w:rPr>
          <w:rFonts w:ascii="Times New Roman" w:hAnsi="Times New Roman" w:cs="Times New Roman"/>
          <w:sz w:val="23"/>
          <w:szCs w:val="23"/>
          <w:lang w:val="ro-RO"/>
        </w:rPr>
        <w:t xml:space="preserve"> menționate mai sus.</w:t>
      </w:r>
      <w:r w:rsidRPr="007C266E">
        <w:rPr>
          <w:rFonts w:ascii="Times New Roman" w:hAnsi="Times New Roman" w:cs="Times New Roman"/>
          <w:sz w:val="23"/>
          <w:szCs w:val="23"/>
          <w:lang w:val="ro-RO"/>
        </w:rPr>
        <w:t xml:space="preserve"> </w:t>
      </w:r>
    </w:p>
    <w:p w14:paraId="7C33DC0A" w14:textId="77777777" w:rsidR="00445D61" w:rsidRPr="007C266E" w:rsidRDefault="00445D61" w:rsidP="00393588">
      <w:pPr>
        <w:spacing w:after="0" w:line="240" w:lineRule="auto"/>
        <w:jc w:val="both"/>
        <w:rPr>
          <w:rFonts w:ascii="Times New Roman" w:hAnsi="Times New Roman" w:cs="Times New Roman"/>
          <w:sz w:val="23"/>
          <w:szCs w:val="23"/>
          <w:lang w:val="ro-RO"/>
        </w:rPr>
      </w:pPr>
    </w:p>
    <w:p w14:paraId="6C8D5C79" w14:textId="77777777" w:rsidR="00445D61" w:rsidRPr="007C266E" w:rsidRDefault="00445D6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 xml:space="preserve">Realizarea obiectivelor strategice presupune o riguroasă ancorare în realitatea sectorului energetic, cu o bună înțelegere a contextului internațional și a tendințelor de ordin tehnologic, economic și geopolitic </w:t>
      </w:r>
      <w:r w:rsidRPr="007C266E">
        <w:rPr>
          <w:rFonts w:ascii="Times New Roman" w:hAnsi="Times New Roman" w:cs="Times New Roman"/>
          <w:b/>
          <w:i/>
          <w:sz w:val="23"/>
          <w:szCs w:val="23"/>
          <w:lang w:val="ro-RO"/>
        </w:rPr>
        <w:t>(Cap. IV)</w:t>
      </w:r>
      <w:r w:rsidRPr="007C266E">
        <w:rPr>
          <w:rFonts w:ascii="Times New Roman" w:hAnsi="Times New Roman" w:cs="Times New Roman"/>
          <w:sz w:val="23"/>
          <w:szCs w:val="23"/>
          <w:lang w:val="ro-RO"/>
        </w:rPr>
        <w:t xml:space="preserve">. </w:t>
      </w:r>
    </w:p>
    <w:p w14:paraId="06217D14" w14:textId="77777777" w:rsidR="00445D61" w:rsidRPr="007C266E" w:rsidRDefault="00445D61" w:rsidP="00393588">
      <w:pPr>
        <w:spacing w:after="0" w:line="240" w:lineRule="auto"/>
        <w:jc w:val="both"/>
        <w:rPr>
          <w:rFonts w:ascii="Times New Roman" w:hAnsi="Times New Roman" w:cs="Times New Roman"/>
          <w:sz w:val="23"/>
          <w:szCs w:val="23"/>
          <w:lang w:val="ro-RO"/>
        </w:rPr>
      </w:pPr>
    </w:p>
    <w:p w14:paraId="4DC82A21" w14:textId="77777777" w:rsidR="00445D61" w:rsidRPr="007C266E" w:rsidRDefault="00445D6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Strategia Energetică, un loc important este destinat analizei contextului european și politicilor de creare a Uniunii Energetice </w:t>
      </w:r>
      <w:r w:rsidRPr="007C266E">
        <w:rPr>
          <w:rFonts w:ascii="Times New Roman" w:hAnsi="Times New Roman" w:cs="Times New Roman"/>
          <w:b/>
          <w:i/>
          <w:sz w:val="23"/>
          <w:szCs w:val="23"/>
          <w:lang w:val="ro-RO"/>
        </w:rPr>
        <w:t>(Cap. IV.2)</w:t>
      </w:r>
      <w:r w:rsidRPr="007C266E">
        <w:rPr>
          <w:rFonts w:ascii="Times New Roman" w:hAnsi="Times New Roman" w:cs="Times New Roman"/>
          <w:sz w:val="23"/>
          <w:szCs w:val="23"/>
          <w:lang w:val="ro-RO"/>
        </w:rPr>
        <w:t>. Strategia orientează</w:t>
      </w:r>
      <w:r w:rsidR="00CC1BDC"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poziționarea României în raport cu propunerile  de reformă a pieței europene de energie și prezintă, prin obiectivele operaționale și acțiunile prioritare, opțiunile strategice de intervenție a statului român în sectorul energetic.</w:t>
      </w:r>
    </w:p>
    <w:p w14:paraId="130500DE" w14:textId="77777777" w:rsidR="00445D61" w:rsidRPr="007C266E" w:rsidRDefault="00445D61" w:rsidP="00393588">
      <w:pPr>
        <w:spacing w:after="0" w:line="240" w:lineRule="auto"/>
        <w:jc w:val="both"/>
        <w:rPr>
          <w:rFonts w:ascii="Times New Roman" w:hAnsi="Times New Roman" w:cs="Times New Roman"/>
          <w:sz w:val="23"/>
          <w:szCs w:val="23"/>
          <w:lang w:val="ro-RO"/>
        </w:rPr>
      </w:pPr>
    </w:p>
    <w:p w14:paraId="41FF0610" w14:textId="77777777" w:rsidR="00445D61" w:rsidRPr="007C266E" w:rsidRDefault="00445D6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același timp, din perspectiva politicilor energetice regionale, Strategia reiterează importanța interconectărilor în construcție din Europa Centrală și de </w:t>
      </w:r>
      <w:r w:rsidR="00CE5069" w:rsidRPr="007C266E">
        <w:rPr>
          <w:rFonts w:ascii="Times New Roman" w:hAnsi="Times New Roman" w:cs="Times New Roman"/>
          <w:sz w:val="23"/>
          <w:szCs w:val="23"/>
          <w:lang w:val="ro-RO"/>
        </w:rPr>
        <w:t>Sud-</w:t>
      </w:r>
      <w:r w:rsidRPr="007C266E">
        <w:rPr>
          <w:rFonts w:ascii="Times New Roman" w:hAnsi="Times New Roman" w:cs="Times New Roman"/>
          <w:sz w:val="23"/>
          <w:szCs w:val="23"/>
          <w:lang w:val="ro-RO"/>
        </w:rPr>
        <w:t xml:space="preserve">Est. Acestea contribuie la dezvoltarea piețelor de energie şi a mecanismelor regionale de securitate energetică care vor funcționa după regulile comune ale UE </w:t>
      </w:r>
      <w:r w:rsidRPr="007C266E">
        <w:rPr>
          <w:rFonts w:ascii="Times New Roman" w:hAnsi="Times New Roman" w:cs="Times New Roman"/>
          <w:b/>
          <w:i/>
          <w:sz w:val="23"/>
          <w:szCs w:val="23"/>
          <w:lang w:val="ro-RO"/>
        </w:rPr>
        <w:t>(Cap. IV.3.1)</w:t>
      </w:r>
      <w:r w:rsidRPr="007C266E">
        <w:rPr>
          <w:rFonts w:ascii="Times New Roman" w:hAnsi="Times New Roman" w:cs="Times New Roman"/>
          <w:sz w:val="23"/>
          <w:szCs w:val="23"/>
          <w:lang w:val="ro-RO"/>
        </w:rPr>
        <w:t xml:space="preserve">. La acest capitol, trebuie menționat faptul că interconectarea sistemelor de transport gaze naturale și de energie electrică ale României cu cele ale Republicii Moldova reprezintă un obiectiv strategic al guvernelor celor două țări. De asemenea, este important de subliniat faptul că, în acest context, România se poate evidenția ca furnizor regional de securitate energetică </w:t>
      </w:r>
      <w:r w:rsidRPr="007C266E">
        <w:rPr>
          <w:rFonts w:ascii="Times New Roman" w:hAnsi="Times New Roman" w:cs="Times New Roman"/>
          <w:b/>
          <w:i/>
          <w:sz w:val="23"/>
          <w:szCs w:val="23"/>
          <w:lang w:val="ro-RO"/>
        </w:rPr>
        <w:t>(Cap.IV.3.2)</w:t>
      </w:r>
      <w:r w:rsidRPr="007C266E">
        <w:rPr>
          <w:rFonts w:ascii="Times New Roman" w:hAnsi="Times New Roman" w:cs="Times New Roman"/>
          <w:sz w:val="23"/>
          <w:szCs w:val="23"/>
          <w:lang w:val="ro-RO"/>
        </w:rPr>
        <w:t xml:space="preserve">. </w:t>
      </w:r>
    </w:p>
    <w:p w14:paraId="6F985D3D" w14:textId="77777777" w:rsidR="00445D61" w:rsidRPr="007C266E" w:rsidRDefault="00445D61" w:rsidP="00393588">
      <w:pPr>
        <w:spacing w:after="0" w:line="240" w:lineRule="auto"/>
        <w:jc w:val="both"/>
        <w:rPr>
          <w:rFonts w:ascii="Times New Roman" w:hAnsi="Times New Roman" w:cs="Times New Roman"/>
          <w:sz w:val="23"/>
          <w:szCs w:val="23"/>
          <w:lang w:val="ro-RO"/>
        </w:rPr>
      </w:pPr>
    </w:p>
    <w:p w14:paraId="433DEDAA" w14:textId="77777777" w:rsidR="00445D61" w:rsidRPr="007C266E" w:rsidRDefault="00445D6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Definirea viziunii și a obiectivelor fundamentale, a luat în considerare </w:t>
      </w:r>
      <w:r w:rsidRPr="007C266E">
        <w:rPr>
          <w:rFonts w:ascii="Times New Roman" w:hAnsi="Times New Roman" w:cs="Times New Roman"/>
          <w:b/>
          <w:sz w:val="23"/>
          <w:szCs w:val="23"/>
          <w:lang w:val="ro-RO"/>
        </w:rPr>
        <w:t>resursele energetice ale țării,</w:t>
      </w:r>
      <w:r w:rsidRPr="007C266E">
        <w:rPr>
          <w:rFonts w:ascii="Times New Roman" w:hAnsi="Times New Roman" w:cs="Times New Roman"/>
          <w:sz w:val="23"/>
          <w:szCs w:val="23"/>
          <w:lang w:val="ro-RO"/>
        </w:rPr>
        <w:t xml:space="preserve"> precum și faptul că România are </w:t>
      </w:r>
      <w:r w:rsidR="005D534A" w:rsidRPr="007C266E">
        <w:rPr>
          <w:rFonts w:ascii="Times New Roman" w:hAnsi="Times New Roman" w:cs="Times New Roman"/>
          <w:sz w:val="23"/>
          <w:szCs w:val="23"/>
          <w:lang w:val="ro-RO"/>
        </w:rPr>
        <w:t xml:space="preserve">și va continua să se bazeze pe </w:t>
      </w:r>
      <w:r w:rsidRPr="007C266E">
        <w:rPr>
          <w:rFonts w:ascii="Times New Roman" w:hAnsi="Times New Roman" w:cs="Times New Roman"/>
          <w:sz w:val="23"/>
          <w:szCs w:val="23"/>
          <w:lang w:val="ro-RO"/>
        </w:rPr>
        <w:t xml:space="preserve">un </w:t>
      </w:r>
      <w:r w:rsidRPr="007C266E">
        <w:rPr>
          <w:rFonts w:ascii="Times New Roman" w:hAnsi="Times New Roman" w:cs="Times New Roman"/>
          <w:b/>
          <w:sz w:val="23"/>
          <w:szCs w:val="23"/>
          <w:lang w:val="ro-RO"/>
        </w:rPr>
        <w:t>mix energetic echilibrat și diversificat</w:t>
      </w:r>
      <w:r w:rsidR="005D534A" w:rsidRPr="007C266E">
        <w:rPr>
          <w:rFonts w:ascii="Times New Roman" w:hAnsi="Times New Roman" w:cs="Times New Roman"/>
          <w:b/>
          <w:sz w:val="23"/>
          <w:szCs w:val="23"/>
          <w:lang w:val="ro-RO"/>
        </w:rPr>
        <w:t>, ceea ce oferă credibilitate pentru asigurarea pe termen lung a</w:t>
      </w:r>
      <w:r w:rsidR="00CC1BDC" w:rsidRPr="007C266E">
        <w:rPr>
          <w:rFonts w:ascii="Times New Roman" w:hAnsi="Times New Roman" w:cs="Times New Roman"/>
          <w:b/>
          <w:sz w:val="23"/>
          <w:szCs w:val="23"/>
          <w:lang w:val="ro-RO"/>
        </w:rPr>
        <w:t xml:space="preserve"> securității energetice a țării</w:t>
      </w:r>
      <w:r w:rsidRPr="007C266E">
        <w:rPr>
          <w:rFonts w:ascii="Times New Roman" w:hAnsi="Times New Roman" w:cs="Times New Roman"/>
          <w:sz w:val="23"/>
          <w:szCs w:val="23"/>
          <w:lang w:val="ro-RO"/>
        </w:rPr>
        <w:t xml:space="preserve"> </w:t>
      </w:r>
      <w:r w:rsidRPr="007C266E">
        <w:rPr>
          <w:rFonts w:ascii="Times New Roman" w:hAnsi="Times New Roman" w:cs="Times New Roman"/>
          <w:b/>
          <w:i/>
          <w:sz w:val="23"/>
          <w:szCs w:val="23"/>
          <w:lang w:val="ro-RO"/>
        </w:rPr>
        <w:t>(Cap.IV.4)</w:t>
      </w:r>
      <w:r w:rsidRPr="007C266E">
        <w:rPr>
          <w:rFonts w:ascii="Times New Roman" w:hAnsi="Times New Roman" w:cs="Times New Roman"/>
          <w:sz w:val="23"/>
          <w:szCs w:val="23"/>
          <w:lang w:val="ro-RO"/>
        </w:rPr>
        <w:t xml:space="preserve">. </w:t>
      </w:r>
    </w:p>
    <w:p w14:paraId="39D35A04" w14:textId="77777777" w:rsidR="00F740F1" w:rsidRPr="007C266E" w:rsidRDefault="00F740F1" w:rsidP="00393588">
      <w:pPr>
        <w:spacing w:after="0" w:line="240" w:lineRule="auto"/>
        <w:jc w:val="both"/>
        <w:rPr>
          <w:rFonts w:ascii="Times New Roman" w:hAnsi="Times New Roman" w:cs="Times New Roman"/>
          <w:sz w:val="23"/>
          <w:szCs w:val="23"/>
          <w:lang w:val="ro-RO"/>
        </w:rPr>
      </w:pPr>
    </w:p>
    <w:p w14:paraId="7C311B53" w14:textId="77777777" w:rsidR="00644647" w:rsidRPr="007C266E" w:rsidRDefault="00445D6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Strategia Energetică stabilește faptul că </w:t>
      </w:r>
      <w:r w:rsidRPr="007C266E">
        <w:rPr>
          <w:rFonts w:ascii="Times New Roman" w:hAnsi="Times New Roman" w:cs="Times New Roman"/>
          <w:b/>
          <w:sz w:val="23"/>
          <w:szCs w:val="23"/>
          <w:lang w:val="ro-RO"/>
        </w:rPr>
        <w:t xml:space="preserve">România își va menține poziția de producător de energie în regiune și va avea un rol activ și important în gestionarea situațiilor de stres la nivel regional. </w:t>
      </w:r>
    </w:p>
    <w:p w14:paraId="02F2311F" w14:textId="77777777" w:rsidR="00445D61" w:rsidRPr="007C266E" w:rsidRDefault="00445D61" w:rsidP="00393588">
      <w:pPr>
        <w:spacing w:after="0" w:line="240" w:lineRule="auto"/>
        <w:jc w:val="both"/>
        <w:rPr>
          <w:rFonts w:ascii="Times New Roman" w:hAnsi="Times New Roman" w:cs="Times New Roman"/>
          <w:b/>
          <w:sz w:val="23"/>
          <w:szCs w:val="23"/>
          <w:lang w:val="ro-RO"/>
        </w:rPr>
      </w:pPr>
    </w:p>
    <w:p w14:paraId="20533061" w14:textId="77777777" w:rsidR="007D5F12" w:rsidRDefault="00445D6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 xml:space="preserve">Strategia analizează și perspectiva sistemului energetic național pentru anul 2050 </w:t>
      </w:r>
      <w:r w:rsidRPr="007C266E">
        <w:rPr>
          <w:rFonts w:ascii="Times New Roman" w:hAnsi="Times New Roman" w:cs="Times New Roman"/>
          <w:b/>
          <w:i/>
          <w:sz w:val="23"/>
          <w:szCs w:val="23"/>
          <w:lang w:val="ro-RO"/>
        </w:rPr>
        <w:t>(Cap. VII).</w:t>
      </w:r>
      <w:r w:rsidRPr="007C266E">
        <w:rPr>
          <w:rFonts w:ascii="Times New Roman" w:hAnsi="Times New Roman" w:cs="Times New Roman"/>
          <w:sz w:val="23"/>
          <w:szCs w:val="23"/>
          <w:lang w:val="ro-RO"/>
        </w:rPr>
        <w:t xml:space="preserve"> Proiecțiile anului 2050, chiar dacă au un grad mai mare de incertitudine, sunt relevante din punct de vedere al viziunii și obiectivelor fundamentale ale dezvoltării sistemului energetic asumate prin Strategie. </w:t>
      </w:r>
      <w:r w:rsidR="00023CF4" w:rsidRPr="007C266E">
        <w:rPr>
          <w:rFonts w:ascii="Times New Roman" w:hAnsi="Times New Roman" w:cs="Times New Roman"/>
          <w:sz w:val="23"/>
          <w:szCs w:val="23"/>
          <w:lang w:val="ro-RO"/>
        </w:rPr>
        <w:t xml:space="preserve">Acestea vor </w:t>
      </w:r>
      <w:r w:rsidR="007D5F12" w:rsidRPr="007C266E">
        <w:rPr>
          <w:rFonts w:ascii="Times New Roman" w:hAnsi="Times New Roman" w:cs="Times New Roman"/>
          <w:sz w:val="23"/>
          <w:szCs w:val="23"/>
          <w:lang w:val="ro-RO"/>
        </w:rPr>
        <w:lastRenderedPageBreak/>
        <w:t xml:space="preserve">putea fi conturate mai clar în contextul elaborării Strategiei pe Termen Lung, document programatic aflat în curs de elaborare, în conformitate cu Regulamentul </w:t>
      </w:r>
      <w:r w:rsidR="00471096" w:rsidRPr="007C266E">
        <w:rPr>
          <w:rFonts w:ascii="Times New Roman" w:hAnsi="Times New Roman" w:cs="Times New Roman"/>
          <w:sz w:val="23"/>
          <w:szCs w:val="23"/>
          <w:lang w:val="ro-RO"/>
        </w:rPr>
        <w:t>privind  g</w:t>
      </w:r>
      <w:r w:rsidR="007D5F12" w:rsidRPr="007C266E">
        <w:rPr>
          <w:rFonts w:ascii="Times New Roman" w:hAnsi="Times New Roman" w:cs="Times New Roman"/>
          <w:sz w:val="23"/>
          <w:szCs w:val="23"/>
          <w:lang w:val="ro-RO"/>
        </w:rPr>
        <w:t>uvernanț</w:t>
      </w:r>
      <w:r w:rsidR="00471096" w:rsidRPr="007C266E">
        <w:rPr>
          <w:rFonts w:ascii="Times New Roman" w:hAnsi="Times New Roman" w:cs="Times New Roman"/>
          <w:sz w:val="23"/>
          <w:szCs w:val="23"/>
          <w:lang w:val="ro-RO"/>
        </w:rPr>
        <w:t>a uniunii energetice și a schimbărilor climatice</w:t>
      </w:r>
      <w:r w:rsidR="007D5F12" w:rsidRPr="007C266E">
        <w:rPr>
          <w:rFonts w:ascii="Times New Roman" w:hAnsi="Times New Roman" w:cs="Times New Roman"/>
          <w:sz w:val="23"/>
          <w:szCs w:val="23"/>
          <w:lang w:val="ro-RO"/>
        </w:rPr>
        <w:t>.</w:t>
      </w:r>
    </w:p>
    <w:p w14:paraId="694C2217" w14:textId="77777777" w:rsidR="002869B1" w:rsidRPr="007C266E" w:rsidRDefault="002869B1" w:rsidP="00393588">
      <w:pPr>
        <w:spacing w:after="0" w:line="240" w:lineRule="auto"/>
        <w:jc w:val="both"/>
        <w:rPr>
          <w:rFonts w:ascii="Times New Roman" w:hAnsi="Times New Roman" w:cs="Times New Roman"/>
          <w:sz w:val="23"/>
          <w:szCs w:val="23"/>
          <w:lang w:val="ro-RO"/>
        </w:rPr>
        <w:sectPr w:rsidR="002869B1" w:rsidRPr="007C266E" w:rsidSect="00E11B67">
          <w:type w:val="continuous"/>
          <w:pgSz w:w="12240" w:h="15840"/>
          <w:pgMar w:top="1440" w:right="1440" w:bottom="1440" w:left="1440" w:header="720" w:footer="720" w:gutter="0"/>
          <w:cols w:num="2" w:space="720"/>
          <w:titlePg/>
          <w:docGrid w:linePitch="360"/>
        </w:sectPr>
      </w:pPr>
    </w:p>
    <w:p w14:paraId="3273C2F9" w14:textId="77777777" w:rsidR="00B71BEA" w:rsidRPr="007C266E" w:rsidRDefault="00B71BEA" w:rsidP="00393588">
      <w:pPr>
        <w:spacing w:line="240" w:lineRule="auto"/>
        <w:rPr>
          <w:rFonts w:ascii="Times New Roman" w:eastAsiaTheme="majorEastAsia" w:hAnsi="Times New Roman" w:cs="Times New Roman"/>
          <w:b/>
          <w:bCs/>
          <w:color w:val="365F91" w:themeColor="accent1" w:themeShade="BF"/>
          <w:sz w:val="23"/>
          <w:szCs w:val="23"/>
          <w:lang w:val="ro-RO"/>
        </w:rPr>
      </w:pPr>
      <w:r w:rsidRPr="007C266E">
        <w:rPr>
          <w:rFonts w:ascii="Times New Roman" w:hAnsi="Times New Roman" w:cs="Times New Roman"/>
          <w:sz w:val="23"/>
          <w:szCs w:val="23"/>
          <w:lang w:val="ro-RO"/>
        </w:rPr>
        <w:lastRenderedPageBreak/>
        <w:br w:type="page"/>
      </w:r>
    </w:p>
    <w:p w14:paraId="1E0B8ABF" w14:textId="77777777" w:rsidR="00582E97" w:rsidRPr="007C266E" w:rsidRDefault="00582E97" w:rsidP="002500F7">
      <w:pPr>
        <w:pStyle w:val="Heading1"/>
        <w:numPr>
          <w:ilvl w:val="0"/>
          <w:numId w:val="7"/>
        </w:numPr>
        <w:spacing w:line="240" w:lineRule="auto"/>
        <w:rPr>
          <w:rFonts w:ascii="Times New Roman" w:hAnsi="Times New Roman" w:cs="Times New Roman"/>
          <w:sz w:val="23"/>
          <w:szCs w:val="23"/>
          <w:lang w:val="ro-RO"/>
        </w:rPr>
      </w:pPr>
      <w:bookmarkStart w:id="4" w:name="_Toc44400852"/>
      <w:r w:rsidRPr="007C266E">
        <w:rPr>
          <w:rFonts w:ascii="Times New Roman" w:hAnsi="Times New Roman" w:cs="Times New Roman"/>
          <w:sz w:val="23"/>
          <w:szCs w:val="23"/>
          <w:lang w:val="ro-RO"/>
        </w:rPr>
        <w:lastRenderedPageBreak/>
        <w:t>VIZIUNEA STRATEGIEI ENERGETICE</w:t>
      </w:r>
      <w:bookmarkEnd w:id="4"/>
    </w:p>
    <w:p w14:paraId="3BD69562" w14:textId="77777777" w:rsidR="00582E97" w:rsidRPr="007C266E" w:rsidRDefault="00582E97" w:rsidP="006E1D2D">
      <w:pPr>
        <w:spacing w:after="0" w:line="240" w:lineRule="auto"/>
        <w:jc w:val="both"/>
        <w:rPr>
          <w:rFonts w:ascii="Times New Roman" w:hAnsi="Times New Roman" w:cs="Times New Roman"/>
          <w:sz w:val="23"/>
          <w:szCs w:val="23"/>
          <w:lang w:val="ro-RO"/>
        </w:rPr>
      </w:pPr>
    </w:p>
    <w:p w14:paraId="322D9BD5" w14:textId="77777777" w:rsidR="00582E97" w:rsidRPr="007C266E" w:rsidRDefault="00582E97" w:rsidP="009E5804">
      <w:pPr>
        <w:spacing w:after="0" w:line="240" w:lineRule="auto"/>
        <w:jc w:val="both"/>
        <w:rPr>
          <w:rFonts w:ascii="Times New Roman" w:hAnsi="Times New Roman" w:cs="Times New Roman"/>
          <w:sz w:val="23"/>
          <w:szCs w:val="23"/>
          <w:lang w:val="ro-RO"/>
        </w:rPr>
        <w:sectPr w:rsidR="00582E97" w:rsidRPr="007C266E" w:rsidSect="0089425F">
          <w:headerReference w:type="even" r:id="rId14"/>
          <w:headerReference w:type="default" r:id="rId15"/>
          <w:footerReference w:type="default" r:id="rId16"/>
          <w:headerReference w:type="first" r:id="rId17"/>
          <w:type w:val="continuous"/>
          <w:pgSz w:w="12240" w:h="15840"/>
          <w:pgMar w:top="1440" w:right="1440" w:bottom="1440" w:left="1440" w:header="720" w:footer="720" w:gutter="0"/>
          <w:cols w:space="720"/>
          <w:titlePg/>
          <w:docGrid w:linePitch="360"/>
        </w:sectPr>
      </w:pPr>
    </w:p>
    <w:p w14:paraId="1ABFFBF2" w14:textId="77777777" w:rsidR="00582E97" w:rsidRPr="007C266E" w:rsidRDefault="00582E9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Pe fondul dezvoltării industriale naționale intens energofage din perioada de dinainte de 1990, sectorul energetic românesc a fost supus unei mari presiuni de dezvoltare. Viziunea de dezvoltare a sectorului energetic se baza pe conceptul independenţei energetice şi acorda prioritate descoperirii și valorificării de resurse energetice pe teritoriul naţional. De asemenea, se insist</w:t>
      </w:r>
      <w:r w:rsidR="0068362E"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 xml:space="preserve"> pe asimilarea şi dezvoltarea de tehnologii proprii pentru exploatarea resurselor și se dezvoltau continuu capacităţi de producţie. </w:t>
      </w:r>
    </w:p>
    <w:p w14:paraId="523123EB" w14:textId="77777777" w:rsidR="00582E97" w:rsidRPr="007C266E" w:rsidRDefault="00582E97" w:rsidP="009E5804">
      <w:pPr>
        <w:spacing w:after="0" w:line="240" w:lineRule="auto"/>
        <w:jc w:val="both"/>
        <w:rPr>
          <w:rFonts w:ascii="Times New Roman" w:hAnsi="Times New Roman" w:cs="Times New Roman"/>
          <w:sz w:val="23"/>
          <w:szCs w:val="23"/>
          <w:lang w:val="ro-RO"/>
        </w:rPr>
      </w:pPr>
    </w:p>
    <w:p w14:paraId="423BC045" w14:textId="77777777" w:rsidR="00582E97" w:rsidRPr="007C266E" w:rsidRDefault="00582E9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Mare parte din capacităţile energetice au fost dezvoltate integrat cu alte obiective industriale. Platformele industriale au fost realizate incluzând propriile centrale electrice care asigurau atât o parte din energia electrică necesară lor, cât și agentul termic; acestea erau integrate inclusiv cu sistemele de alimentare cu energie termică a consumatorilor casnici. </w:t>
      </w:r>
    </w:p>
    <w:p w14:paraId="094BDF00" w14:textId="77777777" w:rsidR="00582E97" w:rsidRPr="007C266E" w:rsidRDefault="00582E97" w:rsidP="009E5804">
      <w:pPr>
        <w:spacing w:after="0" w:line="240" w:lineRule="auto"/>
        <w:jc w:val="both"/>
        <w:rPr>
          <w:rFonts w:ascii="Times New Roman" w:hAnsi="Times New Roman" w:cs="Times New Roman"/>
          <w:sz w:val="23"/>
          <w:szCs w:val="23"/>
          <w:lang w:val="ro-RO"/>
        </w:rPr>
      </w:pPr>
    </w:p>
    <w:p w14:paraId="3EB6C4DD" w14:textId="77777777" w:rsidR="00582E97" w:rsidRPr="007C266E" w:rsidRDefault="00582E9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Tot în acea perioadă, ca rezultat al cererii mari de energie, au fost dezvoltate masiv exploatările de resurse energetice primare: exploatări miniere, </w:t>
      </w:r>
      <w:r w:rsidR="00484E2C" w:rsidRPr="007C266E">
        <w:rPr>
          <w:rFonts w:ascii="Times New Roman" w:hAnsi="Times New Roman" w:cs="Times New Roman"/>
          <w:sz w:val="23"/>
          <w:szCs w:val="23"/>
          <w:lang w:val="ro-RO"/>
        </w:rPr>
        <w:t>petroliere și a gazelor naturale. De asemenea s-au dezvoltat</w:t>
      </w:r>
      <w:r w:rsidRPr="007C266E">
        <w:rPr>
          <w:rFonts w:ascii="Times New Roman" w:hAnsi="Times New Roman" w:cs="Times New Roman"/>
          <w:sz w:val="23"/>
          <w:szCs w:val="23"/>
          <w:lang w:val="ro-RO"/>
        </w:rPr>
        <w:t xml:space="preserve"> amenajări hidroenergetice</w:t>
      </w:r>
      <w:r w:rsidR="00484E2C" w:rsidRPr="007C266E">
        <w:rPr>
          <w:rFonts w:ascii="Times New Roman" w:hAnsi="Times New Roman" w:cs="Times New Roman"/>
          <w:sz w:val="23"/>
          <w:szCs w:val="23"/>
          <w:lang w:val="ro-RO"/>
        </w:rPr>
        <w:t xml:space="preserve"> valorificând aproape întregul potențial hidrologic al țării</w:t>
      </w:r>
      <w:r w:rsidRPr="007C266E">
        <w:rPr>
          <w:rFonts w:ascii="Times New Roman" w:hAnsi="Times New Roman" w:cs="Times New Roman"/>
          <w:sz w:val="23"/>
          <w:szCs w:val="23"/>
          <w:lang w:val="ro-RO"/>
        </w:rPr>
        <w:t>.</w:t>
      </w:r>
    </w:p>
    <w:p w14:paraId="04AB1F2A" w14:textId="77777777" w:rsidR="00582E97" w:rsidRPr="007C266E" w:rsidRDefault="00582E97" w:rsidP="009E5804">
      <w:pPr>
        <w:spacing w:after="0" w:line="240" w:lineRule="auto"/>
        <w:jc w:val="both"/>
        <w:rPr>
          <w:rFonts w:ascii="Times New Roman" w:hAnsi="Times New Roman" w:cs="Times New Roman"/>
          <w:sz w:val="23"/>
          <w:szCs w:val="23"/>
          <w:lang w:val="ro-RO"/>
        </w:rPr>
      </w:pPr>
    </w:p>
    <w:p w14:paraId="33D74FAC" w14:textId="77777777" w:rsidR="00582E97" w:rsidRPr="007C266E" w:rsidRDefault="00582E9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Infrastructura de transport a energiei a fost dezvoltată conform acelorași principii. Liniile şi staţiile electrice, conductele de transport, punctele terminus ale acestora şi staţiile aferente, precum şi o parte din căile ferate, au fost dezvoltate pentru a se asigura alimentarea obiectivelor  industriale.</w:t>
      </w:r>
    </w:p>
    <w:p w14:paraId="661842E9" w14:textId="77777777" w:rsidR="00582E97" w:rsidRPr="007C266E" w:rsidRDefault="00582E97" w:rsidP="009E5804">
      <w:pPr>
        <w:spacing w:after="0" w:line="240" w:lineRule="auto"/>
        <w:jc w:val="both"/>
        <w:rPr>
          <w:rFonts w:ascii="Times New Roman" w:hAnsi="Times New Roman" w:cs="Times New Roman"/>
          <w:sz w:val="23"/>
          <w:szCs w:val="23"/>
          <w:lang w:val="ro-RO"/>
        </w:rPr>
      </w:pPr>
    </w:p>
    <w:p w14:paraId="4BCBE525" w14:textId="77777777" w:rsidR="00582E97" w:rsidRPr="007C266E" w:rsidRDefault="00582E9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cei </w:t>
      </w:r>
      <w:r w:rsidR="00696580" w:rsidRPr="007C266E">
        <w:rPr>
          <w:rFonts w:ascii="Times New Roman" w:hAnsi="Times New Roman" w:cs="Times New Roman"/>
          <w:sz w:val="23"/>
          <w:szCs w:val="23"/>
          <w:lang w:val="ro-RO"/>
        </w:rPr>
        <w:t>30</w:t>
      </w:r>
      <w:r w:rsidRPr="007C266E">
        <w:rPr>
          <w:rFonts w:ascii="Times New Roman" w:hAnsi="Times New Roman" w:cs="Times New Roman"/>
          <w:sz w:val="23"/>
          <w:szCs w:val="23"/>
          <w:lang w:val="ro-RO"/>
        </w:rPr>
        <w:t xml:space="preserve"> de ani </w:t>
      </w:r>
      <w:r w:rsidR="008827E2" w:rsidRPr="007C266E">
        <w:rPr>
          <w:rFonts w:ascii="Times New Roman" w:hAnsi="Times New Roman" w:cs="Times New Roman"/>
          <w:sz w:val="23"/>
          <w:szCs w:val="23"/>
          <w:lang w:val="ro-RO"/>
        </w:rPr>
        <w:t>par</w:t>
      </w:r>
      <w:r w:rsidRPr="007C266E">
        <w:rPr>
          <w:rFonts w:ascii="Times New Roman" w:hAnsi="Times New Roman" w:cs="Times New Roman"/>
          <w:sz w:val="23"/>
          <w:szCs w:val="23"/>
          <w:lang w:val="ro-RO"/>
        </w:rPr>
        <w:t xml:space="preserve">curși din anul 1990, energetica românească a fost pusă în situația de a face faţă schimbărilor economice care au marcat România, cele mai multe fiind caracterizate de restrângerea generală a activităţilor economice consumatoare de energie. </w:t>
      </w:r>
    </w:p>
    <w:p w14:paraId="6822A9FC" w14:textId="77777777" w:rsidR="00582E97" w:rsidRPr="007C266E" w:rsidRDefault="00582E97" w:rsidP="009E5804">
      <w:pPr>
        <w:spacing w:after="0" w:line="240" w:lineRule="auto"/>
        <w:jc w:val="both"/>
        <w:rPr>
          <w:rFonts w:ascii="Times New Roman" w:hAnsi="Times New Roman" w:cs="Times New Roman"/>
          <w:sz w:val="23"/>
          <w:szCs w:val="23"/>
          <w:lang w:val="ro-RO"/>
        </w:rPr>
      </w:pPr>
    </w:p>
    <w:p w14:paraId="14E017D1" w14:textId="77777777" w:rsidR="00582E97" w:rsidRPr="007C266E" w:rsidRDefault="00582E9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În prezent, resursele energetice primare, derivatele acestora şi produsele finale cele mai valoroase - energia electrică, energia termică sau combustibilii - sunt considerate bunuri cu valoare de marfă care sunt  tranzacţionate atât pe piaţa naţională, cât şi pe pieţele regională, europe</w:t>
      </w:r>
      <w:r w:rsidR="005260B4"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 xml:space="preserve">nă sau globală. </w:t>
      </w:r>
    </w:p>
    <w:p w14:paraId="73FE7CA6" w14:textId="77777777" w:rsidR="00582E97" w:rsidRPr="007C266E" w:rsidRDefault="00582E97" w:rsidP="009E5804">
      <w:pPr>
        <w:spacing w:after="0" w:line="240" w:lineRule="auto"/>
        <w:jc w:val="both"/>
        <w:rPr>
          <w:rFonts w:ascii="Times New Roman" w:hAnsi="Times New Roman" w:cs="Times New Roman"/>
          <w:sz w:val="23"/>
          <w:szCs w:val="23"/>
          <w:lang w:val="ro-RO"/>
        </w:rPr>
      </w:pPr>
    </w:p>
    <w:p w14:paraId="0500D056" w14:textId="77777777" w:rsidR="00582E97" w:rsidRPr="007C266E" w:rsidRDefault="00582E9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Prin aderarea României la Uniunea Europeană, conceptul independenţei energetice a fost completat şi, treptat, înlocuit cu cel al securităţii energetice. Întreg sectorul energetic românesc a fost pus în fața tranziţiei de la dezideratul independenţei energetice, la condiţiile pieţelor de schimb liber. Astfel, principala provocare pentru sectorul energetic constă în reconfigurarea </w:t>
      </w:r>
      <w:r w:rsidR="00A728BF" w:rsidRPr="007C266E">
        <w:rPr>
          <w:rFonts w:ascii="Times New Roman" w:hAnsi="Times New Roman" w:cs="Times New Roman"/>
          <w:sz w:val="23"/>
          <w:szCs w:val="23"/>
          <w:lang w:val="ro-RO"/>
        </w:rPr>
        <w:t xml:space="preserve">sistemului energetic și reformarea pieței de energie </w:t>
      </w:r>
      <w:r w:rsidRPr="007C266E">
        <w:rPr>
          <w:rFonts w:ascii="Times New Roman" w:hAnsi="Times New Roman" w:cs="Times New Roman"/>
          <w:sz w:val="23"/>
          <w:szCs w:val="23"/>
          <w:lang w:val="ro-RO"/>
        </w:rPr>
        <w:t>pentru a putea face faţă competiţiei de piață.</w:t>
      </w:r>
    </w:p>
    <w:p w14:paraId="0B45399A" w14:textId="77777777" w:rsidR="00A7380D" w:rsidRPr="007C266E" w:rsidRDefault="00A7380D" w:rsidP="009E5804">
      <w:pPr>
        <w:spacing w:after="0" w:line="240" w:lineRule="auto"/>
        <w:jc w:val="both"/>
        <w:rPr>
          <w:rFonts w:ascii="Times New Roman" w:hAnsi="Times New Roman" w:cs="Times New Roman"/>
          <w:sz w:val="23"/>
          <w:szCs w:val="23"/>
          <w:lang w:val="ro-RO"/>
        </w:rPr>
      </w:pPr>
    </w:p>
    <w:p w14:paraId="5EAD319C" w14:textId="77777777" w:rsidR="002500F7" w:rsidRPr="007C266E" w:rsidRDefault="00423039"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O provocare suplimentară pe termen lung pentru sectorul energetic românesc </w:t>
      </w:r>
      <w:r w:rsidR="0070560A" w:rsidRPr="007C266E">
        <w:rPr>
          <w:rFonts w:ascii="Times New Roman" w:hAnsi="Times New Roman" w:cs="Times New Roman"/>
          <w:sz w:val="23"/>
          <w:szCs w:val="23"/>
          <w:lang w:val="ro-RO"/>
        </w:rPr>
        <w:t xml:space="preserve">va fi aceea de a </w:t>
      </w:r>
      <w:r w:rsidR="0048586A" w:rsidRPr="007C266E">
        <w:rPr>
          <w:rFonts w:ascii="Times New Roman" w:hAnsi="Times New Roman" w:cs="Times New Roman"/>
          <w:sz w:val="23"/>
          <w:szCs w:val="23"/>
          <w:lang w:val="ro-RO"/>
        </w:rPr>
        <w:t>contribui la realizarea obiectivul</w:t>
      </w:r>
      <w:r w:rsidR="00864AEE" w:rsidRPr="007C266E">
        <w:rPr>
          <w:rFonts w:ascii="Times New Roman" w:hAnsi="Times New Roman" w:cs="Times New Roman"/>
          <w:sz w:val="23"/>
          <w:szCs w:val="23"/>
          <w:lang w:val="ro-RO"/>
        </w:rPr>
        <w:t>ui Uniunii Europene</w:t>
      </w:r>
      <w:r w:rsidR="0070560A" w:rsidRPr="007C266E">
        <w:rPr>
          <w:rFonts w:ascii="Times New Roman" w:hAnsi="Times New Roman" w:cs="Times New Roman"/>
          <w:sz w:val="23"/>
          <w:szCs w:val="23"/>
          <w:lang w:val="ro-RO"/>
        </w:rPr>
        <w:t xml:space="preserve"> de a deveni primul continent </w:t>
      </w:r>
      <w:r w:rsidR="00864AEE" w:rsidRPr="007C266E">
        <w:rPr>
          <w:rFonts w:ascii="Times New Roman" w:hAnsi="Times New Roman" w:cs="Times New Roman"/>
          <w:sz w:val="23"/>
          <w:szCs w:val="23"/>
          <w:lang w:val="ro-RO"/>
        </w:rPr>
        <w:t xml:space="preserve">neutru din punct de vedere al climei, </w:t>
      </w:r>
      <w:r w:rsidR="0070560A" w:rsidRPr="007C266E">
        <w:rPr>
          <w:rFonts w:ascii="Times New Roman" w:hAnsi="Times New Roman" w:cs="Times New Roman"/>
          <w:sz w:val="23"/>
          <w:szCs w:val="23"/>
          <w:lang w:val="ro-RO"/>
        </w:rPr>
        <w:t>cu emisii „net zero” la orizontul anului 2050, însemnând ca toate emisiile degajate șă fie absorbite, fie pe căi naturale, fie pe căi artificiale, precum tehn</w:t>
      </w:r>
      <w:r w:rsidR="006A64E1" w:rsidRPr="007C266E">
        <w:rPr>
          <w:rFonts w:ascii="Times New Roman" w:hAnsi="Times New Roman" w:cs="Times New Roman"/>
          <w:sz w:val="23"/>
          <w:szCs w:val="23"/>
          <w:lang w:val="ro-RO"/>
        </w:rPr>
        <w:t xml:space="preserve">ologii de stocare a carbonului. </w:t>
      </w:r>
    </w:p>
    <w:p w14:paraId="1C8C218E" w14:textId="77777777" w:rsidR="002500F7" w:rsidRPr="007C266E" w:rsidRDefault="002500F7" w:rsidP="009E5804">
      <w:pPr>
        <w:spacing w:after="0" w:line="240" w:lineRule="auto"/>
        <w:jc w:val="both"/>
        <w:rPr>
          <w:rFonts w:ascii="Times New Roman" w:hAnsi="Times New Roman" w:cs="Times New Roman"/>
          <w:sz w:val="23"/>
          <w:szCs w:val="23"/>
          <w:lang w:val="ro-RO"/>
        </w:rPr>
      </w:pPr>
    </w:p>
    <w:p w14:paraId="79BF91EC" w14:textId="35551825" w:rsidR="006B550B" w:rsidRPr="007C266E" w:rsidRDefault="00864AE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Acest obiectiv face parte din noua strategie de dezvoltare a Uniunii către o economie verde și durabilă, în cadrul pachetului de politici și măsuri „Pactul e</w:t>
      </w:r>
      <w:r w:rsidR="005D59D8" w:rsidRPr="007C266E">
        <w:rPr>
          <w:rFonts w:ascii="Times New Roman" w:hAnsi="Times New Roman" w:cs="Times New Roman"/>
          <w:sz w:val="23"/>
          <w:szCs w:val="23"/>
          <w:lang w:val="ro-RO"/>
        </w:rPr>
        <w:t>cologic european”, care</w:t>
      </w:r>
      <w:r w:rsidR="00910893" w:rsidRPr="007C266E">
        <w:rPr>
          <w:rFonts w:ascii="Times New Roman" w:hAnsi="Times New Roman" w:cs="Times New Roman"/>
          <w:sz w:val="23"/>
          <w:szCs w:val="23"/>
          <w:lang w:val="ro-RO"/>
        </w:rPr>
        <w:t xml:space="preserve"> presupune o revizuire cuprinzătoare</w:t>
      </w:r>
      <w:r w:rsidR="00CF594F" w:rsidRPr="007C266E">
        <w:rPr>
          <w:rFonts w:ascii="Times New Roman" w:hAnsi="Times New Roman" w:cs="Times New Roman"/>
          <w:sz w:val="23"/>
          <w:szCs w:val="23"/>
          <w:lang w:val="ro-RO"/>
        </w:rPr>
        <w:t xml:space="preserve"> </w:t>
      </w:r>
      <w:r w:rsidR="005D59D8" w:rsidRPr="007C266E">
        <w:rPr>
          <w:rFonts w:ascii="Times New Roman" w:hAnsi="Times New Roman" w:cs="Times New Roman"/>
          <w:sz w:val="23"/>
          <w:szCs w:val="23"/>
          <w:lang w:val="ro-RO"/>
        </w:rPr>
        <w:t>a acquis-ului comunitar în domeniu.</w:t>
      </w:r>
      <w:r w:rsidR="00910893" w:rsidRPr="007C266E">
        <w:rPr>
          <w:rFonts w:ascii="Times New Roman" w:hAnsi="Times New Roman" w:cs="Times New Roman"/>
          <w:sz w:val="23"/>
          <w:szCs w:val="23"/>
          <w:lang w:val="ro-RO"/>
        </w:rPr>
        <w:t xml:space="preserve"> </w:t>
      </w:r>
      <w:r w:rsidR="006B550B" w:rsidRPr="007C266E">
        <w:rPr>
          <w:rFonts w:ascii="Times New Roman" w:hAnsi="Times New Roman" w:cs="Times New Roman"/>
          <w:sz w:val="23"/>
          <w:szCs w:val="23"/>
          <w:lang w:val="ro-RO"/>
        </w:rPr>
        <w:t>În acest sens, obiectivele Strategiei vor fi de aliniere la țintele Uniunii la orizontul anului 2050</w:t>
      </w:r>
      <w:r w:rsidR="005D59D8" w:rsidRPr="007C266E">
        <w:rPr>
          <w:rFonts w:ascii="Times New Roman" w:hAnsi="Times New Roman" w:cs="Times New Roman"/>
          <w:sz w:val="23"/>
          <w:szCs w:val="23"/>
          <w:lang w:val="ro-RO"/>
        </w:rPr>
        <w:t xml:space="preserve">, cu scopul de a gestiona </w:t>
      </w:r>
      <w:r w:rsidR="00F02A89" w:rsidRPr="007C266E">
        <w:rPr>
          <w:rFonts w:ascii="Times New Roman" w:hAnsi="Times New Roman" w:cs="Times New Roman"/>
          <w:sz w:val="23"/>
          <w:szCs w:val="23"/>
          <w:lang w:val="ro-RO"/>
        </w:rPr>
        <w:t xml:space="preserve">în mod echitabil </w:t>
      </w:r>
      <w:r w:rsidR="005D59D8" w:rsidRPr="007C266E">
        <w:rPr>
          <w:rFonts w:ascii="Times New Roman" w:hAnsi="Times New Roman" w:cs="Times New Roman"/>
          <w:sz w:val="23"/>
          <w:szCs w:val="23"/>
          <w:lang w:val="ro-RO"/>
        </w:rPr>
        <w:t>tranziția</w:t>
      </w:r>
      <w:r w:rsidR="00F72C10" w:rsidRPr="007C266E">
        <w:rPr>
          <w:rFonts w:ascii="Times New Roman" w:hAnsi="Times New Roman" w:cs="Times New Roman"/>
          <w:sz w:val="23"/>
          <w:szCs w:val="23"/>
          <w:lang w:val="ro-RO"/>
        </w:rPr>
        <w:t xml:space="preserve"> </w:t>
      </w:r>
      <w:r w:rsidR="005D59D8" w:rsidRPr="007C266E">
        <w:rPr>
          <w:rFonts w:ascii="Times New Roman" w:hAnsi="Times New Roman" w:cs="Times New Roman"/>
          <w:sz w:val="23"/>
          <w:szCs w:val="23"/>
          <w:lang w:val="ro-RO"/>
        </w:rPr>
        <w:t xml:space="preserve">sectorului energetic românesc către </w:t>
      </w:r>
      <w:r w:rsidR="00F72C10" w:rsidRPr="007C266E">
        <w:rPr>
          <w:rFonts w:ascii="Times New Roman" w:hAnsi="Times New Roman" w:cs="Times New Roman"/>
          <w:sz w:val="23"/>
          <w:szCs w:val="23"/>
          <w:lang w:val="ro-RO"/>
        </w:rPr>
        <w:t>producerea de energie curată, din surse regenerabile</w:t>
      </w:r>
      <w:r w:rsidR="006B550B" w:rsidRPr="007C266E">
        <w:rPr>
          <w:rFonts w:ascii="Times New Roman" w:hAnsi="Times New Roman" w:cs="Times New Roman"/>
          <w:sz w:val="23"/>
          <w:szCs w:val="23"/>
          <w:lang w:val="ro-RO"/>
        </w:rPr>
        <w:t xml:space="preserve">. </w:t>
      </w:r>
    </w:p>
    <w:p w14:paraId="7B6EA497" w14:textId="77777777" w:rsidR="002500F7" w:rsidRPr="007C266E" w:rsidRDefault="002500F7" w:rsidP="009E5804">
      <w:pPr>
        <w:spacing w:after="0" w:line="240" w:lineRule="auto"/>
        <w:jc w:val="both"/>
        <w:rPr>
          <w:rFonts w:ascii="Times New Roman" w:hAnsi="Times New Roman" w:cs="Times New Roman"/>
          <w:sz w:val="23"/>
          <w:szCs w:val="23"/>
          <w:lang w:val="ro-RO"/>
        </w:rPr>
      </w:pPr>
    </w:p>
    <w:p w14:paraId="454E07CA" w14:textId="77777777" w:rsidR="00582E97" w:rsidRPr="007C266E" w:rsidRDefault="00582E9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Din 1990 şi până în prezent,</w:t>
      </w:r>
      <w:r w:rsidR="00653522" w:rsidRPr="007C266E">
        <w:rPr>
          <w:rFonts w:ascii="Times New Roman" w:hAnsi="Times New Roman" w:cs="Times New Roman"/>
          <w:sz w:val="23"/>
          <w:szCs w:val="23"/>
          <w:lang w:val="ro-RO"/>
        </w:rPr>
        <w:t xml:space="preserve"> </w:t>
      </w:r>
      <w:r w:rsidR="00F72C10" w:rsidRPr="007C266E">
        <w:rPr>
          <w:rFonts w:ascii="Times New Roman" w:hAnsi="Times New Roman" w:cs="Times New Roman"/>
          <w:sz w:val="23"/>
          <w:szCs w:val="23"/>
          <w:lang w:val="ro-RO"/>
        </w:rPr>
        <w:t xml:space="preserve">sectorul energetic românesc se află într-o continuă transformare: </w:t>
      </w:r>
      <w:r w:rsidRPr="007C266E">
        <w:rPr>
          <w:rFonts w:ascii="Times New Roman" w:hAnsi="Times New Roman" w:cs="Times New Roman"/>
          <w:sz w:val="23"/>
          <w:szCs w:val="23"/>
          <w:lang w:val="ro-RO"/>
        </w:rPr>
        <w:lastRenderedPageBreak/>
        <w:t>rând pe rând, au fost închise mai multe capacităţi de exploatare a resurselor energetice primare, precum şi de producere a energiei electrice şi termice. Motivele principale al</w:t>
      </w:r>
      <w:r w:rsidR="00FA5807"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acestor închideri sunt legate de reducerea generală a </w:t>
      </w:r>
      <w:r w:rsidR="00653522" w:rsidRPr="007C266E">
        <w:rPr>
          <w:rFonts w:ascii="Times New Roman" w:hAnsi="Times New Roman" w:cs="Times New Roman"/>
          <w:sz w:val="23"/>
          <w:szCs w:val="23"/>
          <w:lang w:val="ro-RO"/>
        </w:rPr>
        <w:t>activității</w:t>
      </w:r>
      <w:r w:rsidRPr="007C266E">
        <w:rPr>
          <w:rFonts w:ascii="Times New Roman" w:hAnsi="Times New Roman" w:cs="Times New Roman"/>
          <w:sz w:val="23"/>
          <w:szCs w:val="23"/>
          <w:lang w:val="ro-RO"/>
        </w:rPr>
        <w:t xml:space="preserve"> economice, de gradul redus de rentabilitate sau de neada</w:t>
      </w:r>
      <w:r w:rsidR="00DC4D85" w:rsidRPr="007C266E">
        <w:rPr>
          <w:rFonts w:ascii="Times New Roman" w:hAnsi="Times New Roman" w:cs="Times New Roman"/>
          <w:sz w:val="23"/>
          <w:szCs w:val="23"/>
          <w:lang w:val="ro-RO"/>
        </w:rPr>
        <w:t>ptarea la noile norme de mediu.</w:t>
      </w:r>
    </w:p>
    <w:p w14:paraId="5D8DB05D" w14:textId="77777777" w:rsidR="00582E97" w:rsidRPr="007C266E" w:rsidRDefault="00582E97" w:rsidP="009E5804">
      <w:pPr>
        <w:spacing w:after="0" w:line="240" w:lineRule="auto"/>
        <w:jc w:val="both"/>
        <w:rPr>
          <w:rFonts w:ascii="Times New Roman" w:hAnsi="Times New Roman" w:cs="Times New Roman"/>
          <w:sz w:val="23"/>
          <w:szCs w:val="23"/>
          <w:lang w:val="ro-RO"/>
        </w:rPr>
      </w:pPr>
    </w:p>
    <w:p w14:paraId="1FB3D3C7" w14:textId="77777777" w:rsidR="00582E97" w:rsidRPr="007C266E" w:rsidRDefault="00582E9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Deşi o parte din activităţile din domeniu au fost privatizate sau concesionate unor investitori privaţi, o parte însemnată se află în continuare în controlul statului. </w:t>
      </w:r>
    </w:p>
    <w:p w14:paraId="50D033A9" w14:textId="77777777" w:rsidR="00582E97" w:rsidRPr="007C266E" w:rsidRDefault="00582E97" w:rsidP="009E5804">
      <w:pPr>
        <w:spacing w:after="0" w:line="240" w:lineRule="auto"/>
        <w:jc w:val="both"/>
        <w:rPr>
          <w:rFonts w:ascii="Times New Roman" w:hAnsi="Times New Roman" w:cs="Times New Roman"/>
          <w:sz w:val="23"/>
          <w:szCs w:val="23"/>
          <w:lang w:val="ro-RO"/>
        </w:rPr>
      </w:pPr>
    </w:p>
    <w:p w14:paraId="5E5AC757" w14:textId="77777777" w:rsidR="00582E97" w:rsidRPr="007C266E" w:rsidRDefault="00582E9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Din această perspectivă, fără o planificare unitară a întregii dezvoltări a țării, este posibil ca la sfârşitul anilor 2030 sectorul energetic românesc să urmeze trendul de restrângere </w:t>
      </w:r>
      <w:r w:rsidR="00A728BF" w:rsidRPr="007C266E">
        <w:rPr>
          <w:rFonts w:ascii="Times New Roman" w:hAnsi="Times New Roman" w:cs="Times New Roman"/>
          <w:sz w:val="23"/>
          <w:szCs w:val="23"/>
          <w:lang w:val="ro-RO"/>
        </w:rPr>
        <w:t xml:space="preserve">industrială </w:t>
      </w:r>
      <w:r w:rsidRPr="007C266E">
        <w:rPr>
          <w:rFonts w:ascii="Times New Roman" w:hAnsi="Times New Roman" w:cs="Times New Roman"/>
          <w:sz w:val="23"/>
          <w:szCs w:val="23"/>
          <w:lang w:val="ro-RO"/>
        </w:rPr>
        <w:t xml:space="preserve">care a caracterizat ultimii </w:t>
      </w:r>
      <w:r w:rsidR="00696580" w:rsidRPr="007C266E">
        <w:rPr>
          <w:rFonts w:ascii="Times New Roman" w:hAnsi="Times New Roman" w:cs="Times New Roman"/>
          <w:sz w:val="23"/>
          <w:szCs w:val="23"/>
          <w:lang w:val="ro-RO"/>
        </w:rPr>
        <w:t xml:space="preserve">30 </w:t>
      </w:r>
      <w:r w:rsidRPr="007C266E">
        <w:rPr>
          <w:rFonts w:ascii="Times New Roman" w:hAnsi="Times New Roman" w:cs="Times New Roman"/>
          <w:sz w:val="23"/>
          <w:szCs w:val="23"/>
          <w:lang w:val="ro-RO"/>
        </w:rPr>
        <w:t>de ani.</w:t>
      </w:r>
    </w:p>
    <w:p w14:paraId="5B9E327D" w14:textId="77777777" w:rsidR="00582E97" w:rsidRPr="007C266E" w:rsidRDefault="00582E97" w:rsidP="009E5804">
      <w:pPr>
        <w:spacing w:after="0" w:line="240" w:lineRule="auto"/>
        <w:jc w:val="both"/>
        <w:rPr>
          <w:rFonts w:ascii="Times New Roman" w:hAnsi="Times New Roman" w:cs="Times New Roman"/>
          <w:sz w:val="23"/>
          <w:szCs w:val="23"/>
          <w:lang w:val="ro-RO"/>
        </w:rPr>
      </w:pPr>
    </w:p>
    <w:p w14:paraId="5F03D61A" w14:textId="77777777" w:rsidR="00582E97" w:rsidRPr="007C266E" w:rsidRDefault="00582E97"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Viziunea Strategiei Energetice a României este de creștere a sectorului energetic în condiții de sustenabilitate</w:t>
      </w:r>
      <w:r w:rsidR="00A728BF" w:rsidRPr="007C266E">
        <w:rPr>
          <w:rFonts w:ascii="Times New Roman" w:hAnsi="Times New Roman" w:cs="Times New Roman"/>
          <w:b/>
          <w:sz w:val="23"/>
          <w:szCs w:val="23"/>
          <w:lang w:val="ro-RO"/>
        </w:rPr>
        <w:t xml:space="preserve"> și creștere economică</w:t>
      </w:r>
      <w:r w:rsidR="004B388D" w:rsidRPr="007C266E">
        <w:rPr>
          <w:rFonts w:ascii="Times New Roman" w:hAnsi="Times New Roman" w:cs="Times New Roman"/>
          <w:b/>
          <w:sz w:val="23"/>
          <w:szCs w:val="23"/>
          <w:lang w:val="ro-RO"/>
        </w:rPr>
        <w:t>, ținând cont de țintele UE la 2030, respectiv Pactul Ecologic European la 2050</w:t>
      </w:r>
      <w:r w:rsidRPr="007C266E">
        <w:rPr>
          <w:rFonts w:ascii="Times New Roman" w:hAnsi="Times New Roman" w:cs="Times New Roman"/>
          <w:b/>
          <w:sz w:val="23"/>
          <w:szCs w:val="23"/>
          <w:lang w:val="ro-RO"/>
        </w:rPr>
        <w:t>. Dezvoltarea sectorului energetic trebuie privită ca parte a procesului de dezvoltare a României.</w:t>
      </w:r>
    </w:p>
    <w:p w14:paraId="3139847B" w14:textId="77777777" w:rsidR="00582E97" w:rsidRPr="007C266E" w:rsidRDefault="00582E9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069C1EC8" w14:textId="77777777" w:rsidR="00A66A27" w:rsidRPr="007C266E" w:rsidRDefault="00582E9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Creștere înseamnă: construirea de noi capacități de producție bazate pe tehnologii de vârf nepoluante; </w:t>
      </w:r>
      <w:r w:rsidR="005D59D8" w:rsidRPr="007C266E">
        <w:rPr>
          <w:rFonts w:ascii="Times New Roman" w:hAnsi="Times New Roman" w:cs="Times New Roman"/>
          <w:sz w:val="23"/>
          <w:szCs w:val="23"/>
          <w:lang w:val="ro-RO"/>
        </w:rPr>
        <w:t>tranziția de la combustibili solizi (cărbune, lignit, etc.) spre gaz natural</w:t>
      </w:r>
      <w:r w:rsidR="00F72C10" w:rsidRPr="007C266E">
        <w:rPr>
          <w:rFonts w:ascii="Times New Roman" w:hAnsi="Times New Roman" w:cs="Times New Roman"/>
          <w:sz w:val="23"/>
          <w:szCs w:val="23"/>
          <w:lang w:val="ro-RO"/>
        </w:rPr>
        <w:t xml:space="preserve"> și surse regenerabile de energie</w:t>
      </w:r>
      <w:r w:rsidR="005D59D8"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 xml:space="preserve">retehnologizarea și modernizarea capacităților de producție existente și încadrarea lor în normele de mediu, </w:t>
      </w:r>
      <w:r w:rsidR="00CE5069" w:rsidRPr="007C266E">
        <w:rPr>
          <w:rFonts w:ascii="Times New Roman" w:hAnsi="Times New Roman" w:cs="Times New Roman"/>
          <w:sz w:val="23"/>
          <w:szCs w:val="23"/>
          <w:lang w:val="ro-RO"/>
        </w:rPr>
        <w:t xml:space="preserve">rețele inteligente de </w:t>
      </w:r>
      <w:r w:rsidRPr="007C266E">
        <w:rPr>
          <w:rFonts w:ascii="Times New Roman" w:hAnsi="Times New Roman" w:cs="Times New Roman"/>
          <w:sz w:val="23"/>
          <w:szCs w:val="23"/>
          <w:lang w:val="ro-RO"/>
        </w:rPr>
        <w:lastRenderedPageBreak/>
        <w:t xml:space="preserve">transport și distribuție de energie; </w:t>
      </w:r>
      <w:r w:rsidR="005D59D8" w:rsidRPr="007C266E">
        <w:rPr>
          <w:rFonts w:ascii="Times New Roman" w:hAnsi="Times New Roman" w:cs="Times New Roman"/>
          <w:sz w:val="23"/>
          <w:szCs w:val="23"/>
          <w:lang w:val="ro-RO"/>
        </w:rPr>
        <w:t xml:space="preserve">încurajarea producerii de energie descentralizată; </w:t>
      </w:r>
      <w:r w:rsidRPr="007C266E">
        <w:rPr>
          <w:rFonts w:ascii="Times New Roman" w:hAnsi="Times New Roman" w:cs="Times New Roman"/>
          <w:sz w:val="23"/>
          <w:szCs w:val="23"/>
          <w:lang w:val="ro-RO"/>
        </w:rPr>
        <w:t>încurajarea creșterii consumului intern în condiții de eficiență energetică; export. Sistemul energetic național va fi astfel mai sigur și mai stabil.</w:t>
      </w:r>
      <w:r w:rsidR="00A66A27" w:rsidRPr="007C266E">
        <w:rPr>
          <w:rFonts w:ascii="Times New Roman" w:hAnsi="Times New Roman" w:cs="Times New Roman"/>
          <w:sz w:val="23"/>
          <w:szCs w:val="23"/>
          <w:lang w:val="ro-RO"/>
        </w:rPr>
        <w:t xml:space="preserve"> România are resursele necesare creșterii </w:t>
      </w:r>
      <w:r w:rsidR="00E044B0" w:rsidRPr="007C266E">
        <w:rPr>
          <w:rFonts w:ascii="Times New Roman" w:hAnsi="Times New Roman" w:cs="Times New Roman"/>
          <w:sz w:val="23"/>
          <w:szCs w:val="23"/>
          <w:lang w:val="ro-RO"/>
        </w:rPr>
        <w:t xml:space="preserve">și modernizării </w:t>
      </w:r>
      <w:r w:rsidR="00A66A27" w:rsidRPr="007C266E">
        <w:rPr>
          <w:rFonts w:ascii="Times New Roman" w:hAnsi="Times New Roman" w:cs="Times New Roman"/>
          <w:sz w:val="23"/>
          <w:szCs w:val="23"/>
          <w:lang w:val="ro-RO"/>
        </w:rPr>
        <w:t xml:space="preserve">sistemului energetic, iar acesta trebuie să fie pregătit să susțină </w:t>
      </w:r>
      <w:r w:rsidR="00E044B0" w:rsidRPr="007C266E">
        <w:rPr>
          <w:rFonts w:ascii="Times New Roman" w:hAnsi="Times New Roman" w:cs="Times New Roman"/>
          <w:sz w:val="23"/>
          <w:szCs w:val="23"/>
          <w:lang w:val="ro-RO"/>
        </w:rPr>
        <w:t xml:space="preserve">transformarea </w:t>
      </w:r>
      <w:r w:rsidR="00A66A27" w:rsidRPr="007C266E">
        <w:rPr>
          <w:rFonts w:ascii="Times New Roman" w:hAnsi="Times New Roman" w:cs="Times New Roman"/>
          <w:sz w:val="23"/>
          <w:szCs w:val="23"/>
          <w:lang w:val="ro-RO"/>
        </w:rPr>
        <w:t xml:space="preserve">industriei și a agriculturii, a economiei în ansamblul său, precum și îmbunătățirea calității vieții atât în mediul urban, cât și în mediul rural. </w:t>
      </w:r>
    </w:p>
    <w:p w14:paraId="2E5585B2" w14:textId="77777777" w:rsidR="00582E97" w:rsidRPr="007C266E" w:rsidRDefault="00582E97" w:rsidP="009E5804">
      <w:pPr>
        <w:spacing w:after="0" w:line="240" w:lineRule="auto"/>
        <w:jc w:val="both"/>
        <w:rPr>
          <w:rFonts w:ascii="Times New Roman" w:hAnsi="Times New Roman" w:cs="Times New Roman"/>
          <w:sz w:val="23"/>
          <w:szCs w:val="23"/>
          <w:lang w:val="ro-RO"/>
        </w:rPr>
      </w:pPr>
    </w:p>
    <w:p w14:paraId="21F6C97E" w14:textId="77777777" w:rsidR="00582E97" w:rsidRPr="007C266E" w:rsidRDefault="007B0865"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Un aspect important al dezvoltării sectorului energetic românesc </w:t>
      </w:r>
      <w:r w:rsidR="005B1CFD" w:rsidRPr="007C266E">
        <w:rPr>
          <w:rFonts w:ascii="Times New Roman" w:hAnsi="Times New Roman" w:cs="Times New Roman"/>
          <w:sz w:val="23"/>
          <w:szCs w:val="23"/>
          <w:lang w:val="ro-RO"/>
        </w:rPr>
        <w:t>va</w:t>
      </w:r>
      <w:r w:rsidRPr="007C266E">
        <w:rPr>
          <w:rFonts w:ascii="Times New Roman" w:hAnsi="Times New Roman" w:cs="Times New Roman"/>
          <w:sz w:val="23"/>
          <w:szCs w:val="23"/>
          <w:lang w:val="ro-RO"/>
        </w:rPr>
        <w:t xml:space="preserve"> fi asigurarea unei tranziții energetice echitabile</w:t>
      </w:r>
      <w:r w:rsidR="005B1CFD" w:rsidRPr="007C266E">
        <w:rPr>
          <w:rFonts w:ascii="Times New Roman" w:hAnsi="Times New Roman" w:cs="Times New Roman"/>
          <w:sz w:val="23"/>
          <w:szCs w:val="23"/>
          <w:lang w:val="ro-RO"/>
        </w:rPr>
        <w:t xml:space="preserve"> prin gestionarea efectelor sociale și economice ale tranziției, în special în regiunile mono-industriale și dependente de carbon. În acest sens, sprijinul Uniunii</w:t>
      </w:r>
      <w:r w:rsidR="00E61450" w:rsidRPr="007C266E">
        <w:rPr>
          <w:rFonts w:ascii="Times New Roman" w:hAnsi="Times New Roman" w:cs="Times New Roman"/>
          <w:sz w:val="23"/>
          <w:szCs w:val="23"/>
          <w:lang w:val="ro-RO"/>
        </w:rPr>
        <w:t xml:space="preserve"> </w:t>
      </w:r>
      <w:r w:rsidR="005B1CFD" w:rsidRPr="007C266E">
        <w:rPr>
          <w:rFonts w:ascii="Times New Roman" w:hAnsi="Times New Roman" w:cs="Times New Roman"/>
          <w:sz w:val="23"/>
          <w:szCs w:val="23"/>
          <w:lang w:val="ro-RO"/>
        </w:rPr>
        <w:t xml:space="preserve">Europene în cadrul Mecanismului pentru o tranziție echitabilă și fondurilor structurale dedicate </w:t>
      </w:r>
      <w:r w:rsidR="00A66A27" w:rsidRPr="007C266E">
        <w:rPr>
          <w:rFonts w:ascii="Times New Roman" w:hAnsi="Times New Roman" w:cs="Times New Roman"/>
          <w:sz w:val="23"/>
          <w:szCs w:val="23"/>
          <w:lang w:val="ro-RO"/>
        </w:rPr>
        <w:t xml:space="preserve">aferente noului </w:t>
      </w:r>
      <w:r w:rsidR="002C5C85" w:rsidRPr="007C266E">
        <w:rPr>
          <w:rFonts w:ascii="Times New Roman" w:hAnsi="Times New Roman" w:cs="Times New Roman"/>
          <w:sz w:val="23"/>
          <w:szCs w:val="23"/>
          <w:lang w:val="ro-RO"/>
        </w:rPr>
        <w:t>cadru financiar multianual</w:t>
      </w:r>
      <w:r w:rsidR="00A66A27" w:rsidRPr="007C266E">
        <w:rPr>
          <w:rFonts w:ascii="Times New Roman" w:hAnsi="Times New Roman" w:cs="Times New Roman"/>
          <w:sz w:val="23"/>
          <w:szCs w:val="23"/>
          <w:lang w:val="ro-RO"/>
        </w:rPr>
        <w:t xml:space="preserve">2021 – 2027 va fi deosebit de important pentru România. </w:t>
      </w:r>
    </w:p>
    <w:p w14:paraId="139CB9B9" w14:textId="77777777" w:rsidR="00582E97" w:rsidRPr="007C266E" w:rsidRDefault="00582E97" w:rsidP="009E5804">
      <w:pPr>
        <w:spacing w:after="0" w:line="240" w:lineRule="auto"/>
        <w:jc w:val="both"/>
        <w:rPr>
          <w:rFonts w:ascii="Times New Roman" w:hAnsi="Times New Roman" w:cs="Times New Roman"/>
          <w:sz w:val="23"/>
          <w:szCs w:val="23"/>
          <w:lang w:val="ro-RO"/>
        </w:rPr>
      </w:pPr>
    </w:p>
    <w:p w14:paraId="7E8DA49A" w14:textId="77777777" w:rsidR="00582E97" w:rsidRPr="007C266E" w:rsidRDefault="00582E97"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Viziunea Strategiei Energetice a României se bazează pe atingerea a </w:t>
      </w:r>
      <w:r w:rsidR="00527E96" w:rsidRPr="007C266E">
        <w:rPr>
          <w:rFonts w:ascii="Times New Roman" w:hAnsi="Times New Roman" w:cs="Times New Roman"/>
          <w:b/>
          <w:sz w:val="23"/>
          <w:szCs w:val="23"/>
          <w:lang w:val="ro-RO"/>
        </w:rPr>
        <w:t>opt</w:t>
      </w:r>
      <w:r w:rsidRPr="007C266E">
        <w:rPr>
          <w:rFonts w:ascii="Times New Roman" w:hAnsi="Times New Roman" w:cs="Times New Roman"/>
          <w:b/>
          <w:sz w:val="23"/>
          <w:szCs w:val="23"/>
          <w:lang w:val="ro-RO"/>
        </w:rPr>
        <w:t xml:space="preserve"> obiective strategice şi pe implementarea unui program de investiţii </w:t>
      </w:r>
      <w:r w:rsidR="00E421EA" w:rsidRPr="007C266E">
        <w:rPr>
          <w:rFonts w:ascii="Times New Roman" w:hAnsi="Times New Roman" w:cs="Times New Roman"/>
          <w:b/>
          <w:sz w:val="23"/>
          <w:szCs w:val="23"/>
          <w:lang w:val="ro-RO"/>
        </w:rPr>
        <w:t xml:space="preserve">prioritare </w:t>
      </w:r>
      <w:r w:rsidR="00A575AB" w:rsidRPr="007C266E">
        <w:rPr>
          <w:rFonts w:ascii="Times New Roman" w:hAnsi="Times New Roman" w:cs="Times New Roman"/>
          <w:b/>
          <w:sz w:val="23"/>
          <w:szCs w:val="23"/>
          <w:lang w:val="ro-RO"/>
        </w:rPr>
        <w:t xml:space="preserve">pentru îndeplinirea obiectivelor și țintelor stabilite pentru anul 2030, </w:t>
      </w:r>
      <w:r w:rsidR="00F03315" w:rsidRPr="007C266E">
        <w:rPr>
          <w:rFonts w:ascii="Times New Roman" w:hAnsi="Times New Roman" w:cs="Times New Roman"/>
          <w:b/>
          <w:sz w:val="23"/>
          <w:szCs w:val="23"/>
          <w:lang w:val="ro-RO"/>
        </w:rPr>
        <w:t xml:space="preserve">pe întreg lanțul sistemului energetic </w:t>
      </w:r>
      <w:r w:rsidRPr="007C266E">
        <w:rPr>
          <w:rFonts w:ascii="Times New Roman" w:hAnsi="Times New Roman" w:cs="Times New Roman"/>
          <w:b/>
          <w:sz w:val="23"/>
          <w:szCs w:val="23"/>
          <w:lang w:val="ro-RO"/>
        </w:rPr>
        <w:t>naţional.</w:t>
      </w:r>
    </w:p>
    <w:p w14:paraId="46EFFD75" w14:textId="44BB8353" w:rsidR="002500F7" w:rsidRDefault="008B2759"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Măsurile și politicile necesare pentru atingerea obiectivelor strategice se stabilesc prin Planul National Energie Schimbări Climatice </w:t>
      </w:r>
      <w:r w:rsidR="007C266E" w:rsidRPr="007C266E">
        <w:rPr>
          <w:rFonts w:ascii="Times New Roman" w:hAnsi="Times New Roman" w:cs="Times New Roman"/>
          <w:b/>
          <w:sz w:val="23"/>
          <w:szCs w:val="23"/>
          <w:lang w:val="ro-RO"/>
        </w:rPr>
        <w:t>(PNIESC).</w:t>
      </w:r>
    </w:p>
    <w:p w14:paraId="2D9D67E8" w14:textId="77777777" w:rsidR="001B432C" w:rsidRPr="007C266E" w:rsidRDefault="001B432C"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sectPr w:rsidR="001B432C" w:rsidRPr="007C266E" w:rsidSect="0089425F">
          <w:type w:val="continuous"/>
          <w:pgSz w:w="12240" w:h="15840"/>
          <w:pgMar w:top="1440" w:right="1440" w:bottom="1440" w:left="1440" w:header="720" w:footer="720" w:gutter="0"/>
          <w:cols w:num="2" w:space="720"/>
          <w:docGrid w:linePitch="360"/>
        </w:sectPr>
      </w:pPr>
    </w:p>
    <w:p w14:paraId="0AA80C0C" w14:textId="77777777" w:rsidR="001B432C" w:rsidRDefault="001B432C" w:rsidP="001B432C">
      <w:pPr>
        <w:pStyle w:val="Heading1"/>
        <w:spacing w:line="240" w:lineRule="auto"/>
        <w:rPr>
          <w:rFonts w:ascii="Times New Roman" w:hAnsi="Times New Roman" w:cs="Times New Roman"/>
          <w:sz w:val="23"/>
          <w:szCs w:val="23"/>
          <w:lang w:val="ro-RO"/>
        </w:rPr>
      </w:pPr>
      <w:bookmarkStart w:id="5" w:name="_Toc44400853"/>
    </w:p>
    <w:p w14:paraId="694AA7BE" w14:textId="77777777" w:rsidR="001B432C" w:rsidRDefault="001B432C" w:rsidP="001B432C">
      <w:pPr>
        <w:rPr>
          <w:lang w:val="ro-RO"/>
        </w:rPr>
      </w:pPr>
    </w:p>
    <w:p w14:paraId="701201FB" w14:textId="77777777" w:rsidR="001B432C" w:rsidRDefault="001B432C" w:rsidP="001B432C">
      <w:pPr>
        <w:rPr>
          <w:lang w:val="ro-RO"/>
        </w:rPr>
      </w:pPr>
    </w:p>
    <w:p w14:paraId="7DE2F1D7" w14:textId="77777777" w:rsidR="001B432C" w:rsidRDefault="001B432C" w:rsidP="001B432C">
      <w:pPr>
        <w:rPr>
          <w:lang w:val="ro-RO"/>
        </w:rPr>
      </w:pPr>
    </w:p>
    <w:p w14:paraId="0664C875" w14:textId="77777777" w:rsidR="001B432C" w:rsidRPr="001B432C" w:rsidRDefault="001B432C" w:rsidP="001B432C">
      <w:pPr>
        <w:rPr>
          <w:lang w:val="ro-RO"/>
        </w:rPr>
      </w:pPr>
    </w:p>
    <w:p w14:paraId="1CB1D417" w14:textId="5BA674BB" w:rsidR="00C43C61" w:rsidRPr="001B432C" w:rsidRDefault="00582E97" w:rsidP="001B432C">
      <w:pPr>
        <w:pStyle w:val="Heading1"/>
        <w:numPr>
          <w:ilvl w:val="0"/>
          <w:numId w:val="7"/>
        </w:numPr>
        <w:spacing w:line="240" w:lineRule="auto"/>
        <w:rPr>
          <w:rFonts w:ascii="Times New Roman" w:hAnsi="Times New Roman" w:cs="Times New Roman"/>
          <w:sz w:val="23"/>
          <w:szCs w:val="23"/>
          <w:lang w:val="ro-RO"/>
        </w:rPr>
      </w:pPr>
      <w:r w:rsidRPr="001B432C">
        <w:rPr>
          <w:rFonts w:ascii="Times New Roman" w:hAnsi="Times New Roman" w:cs="Times New Roman"/>
          <w:sz w:val="23"/>
          <w:szCs w:val="23"/>
          <w:lang w:val="ro-RO"/>
        </w:rPr>
        <w:lastRenderedPageBreak/>
        <w:t>O</w:t>
      </w:r>
      <w:r w:rsidR="00C43C61" w:rsidRPr="001B432C">
        <w:rPr>
          <w:rFonts w:ascii="Times New Roman" w:hAnsi="Times New Roman" w:cs="Times New Roman"/>
          <w:sz w:val="23"/>
          <w:szCs w:val="23"/>
          <w:lang w:val="ro-RO"/>
        </w:rPr>
        <w:t>BIECTIVELE STRATEGICE FUNDAMENTALE</w:t>
      </w:r>
      <w:bookmarkEnd w:id="5"/>
    </w:p>
    <w:p w14:paraId="6D2233CB" w14:textId="77777777" w:rsidR="00252FA9" w:rsidRPr="007C266E" w:rsidRDefault="00252FA9" w:rsidP="001B432C">
      <w:pPr>
        <w:pStyle w:val="Heading1"/>
        <w:numPr>
          <w:ilvl w:val="0"/>
          <w:numId w:val="7"/>
        </w:numPr>
        <w:spacing w:line="240" w:lineRule="auto"/>
        <w:rPr>
          <w:rFonts w:ascii="Times New Roman" w:hAnsi="Times New Roman" w:cs="Times New Roman"/>
          <w:sz w:val="23"/>
          <w:szCs w:val="23"/>
          <w:lang w:val="ro-RO"/>
        </w:rPr>
        <w:sectPr w:rsidR="00252FA9" w:rsidRPr="007C266E" w:rsidSect="0089425F">
          <w:type w:val="continuous"/>
          <w:pgSz w:w="12240" w:h="15840"/>
          <w:pgMar w:top="1440" w:right="1440" w:bottom="1440" w:left="1440" w:header="720" w:footer="720" w:gutter="0"/>
          <w:cols w:space="720"/>
          <w:docGrid w:linePitch="360"/>
        </w:sectPr>
      </w:pPr>
    </w:p>
    <w:p w14:paraId="5429F0D9" w14:textId="77777777" w:rsidR="00252FA9" w:rsidRPr="007C266E" w:rsidRDefault="00252FA9" w:rsidP="009E5804">
      <w:pPr>
        <w:spacing w:after="0" w:line="240" w:lineRule="auto"/>
        <w:jc w:val="both"/>
        <w:rPr>
          <w:rFonts w:ascii="Times New Roman" w:hAnsi="Times New Roman" w:cs="Times New Roman"/>
          <w:sz w:val="23"/>
          <w:szCs w:val="23"/>
          <w:lang w:val="ro-RO"/>
        </w:rPr>
      </w:pPr>
    </w:p>
    <w:p w14:paraId="6809A9A5" w14:textId="77777777" w:rsidR="00152BF5" w:rsidRPr="007C266E" w:rsidRDefault="00152BF5" w:rsidP="009E5804">
      <w:pPr>
        <w:spacing w:after="0" w:line="240" w:lineRule="auto"/>
        <w:jc w:val="both"/>
        <w:rPr>
          <w:rFonts w:ascii="Times New Roman" w:hAnsi="Times New Roman" w:cs="Times New Roman"/>
          <w:sz w:val="23"/>
          <w:szCs w:val="23"/>
          <w:lang w:val="ro-RO"/>
        </w:rPr>
        <w:sectPr w:rsidR="00152BF5" w:rsidRPr="007C266E" w:rsidSect="0089425F">
          <w:type w:val="continuous"/>
          <w:pgSz w:w="12240" w:h="15840"/>
          <w:pgMar w:top="1440" w:right="1440" w:bottom="1440" w:left="1440" w:header="720" w:footer="720" w:gutter="0"/>
          <w:cols w:num="2" w:space="720"/>
          <w:docGrid w:linePitch="360"/>
        </w:sectPr>
      </w:pPr>
    </w:p>
    <w:p w14:paraId="55BDFF9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 xml:space="preserve">Strategia Energetică are </w:t>
      </w:r>
      <w:r w:rsidR="00527E96" w:rsidRPr="007C266E">
        <w:rPr>
          <w:rFonts w:ascii="Times New Roman" w:hAnsi="Times New Roman" w:cs="Times New Roman"/>
          <w:sz w:val="23"/>
          <w:szCs w:val="23"/>
          <w:lang w:val="ro-RO"/>
        </w:rPr>
        <w:t>opt</w:t>
      </w:r>
      <w:r w:rsidRPr="007C266E">
        <w:rPr>
          <w:rFonts w:ascii="Times New Roman" w:hAnsi="Times New Roman" w:cs="Times New Roman"/>
          <w:sz w:val="23"/>
          <w:szCs w:val="23"/>
          <w:lang w:val="ro-RO"/>
        </w:rPr>
        <w:t xml:space="preserve"> obiective strategice fundamentale care structurează întregul demers de analiză și </w:t>
      </w:r>
      <w:r w:rsidR="00521764" w:rsidRPr="007C266E">
        <w:rPr>
          <w:rFonts w:ascii="Times New Roman" w:hAnsi="Times New Roman" w:cs="Times New Roman"/>
          <w:sz w:val="23"/>
          <w:szCs w:val="23"/>
          <w:lang w:val="ro-RO"/>
        </w:rPr>
        <w:t xml:space="preserve">planificare pentru perioada </w:t>
      </w:r>
      <w:r w:rsidR="00E421EA" w:rsidRPr="007C266E">
        <w:rPr>
          <w:rFonts w:ascii="Times New Roman" w:hAnsi="Times New Roman" w:cs="Times New Roman"/>
          <w:sz w:val="23"/>
          <w:szCs w:val="23"/>
          <w:lang w:val="ro-RO"/>
        </w:rPr>
        <w:t>2020</w:t>
      </w:r>
      <w:r w:rsidRPr="007C266E">
        <w:rPr>
          <w:rFonts w:ascii="Times New Roman" w:hAnsi="Times New Roman" w:cs="Times New Roman"/>
          <w:sz w:val="23"/>
          <w:szCs w:val="23"/>
          <w:lang w:val="ro-RO"/>
        </w:rPr>
        <w:t>-2030 și orizontul de timp al anului 2050. Realizarea obiectivelor presupune o abordare echilibrată a dezvoltării sectorului energetic național</w:t>
      </w:r>
      <w:r w:rsidR="00323E2F"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w:t>
      </w:r>
      <w:r w:rsidR="00581A6F" w:rsidRPr="007C266E">
        <w:rPr>
          <w:rFonts w:ascii="Times New Roman" w:hAnsi="Times New Roman" w:cs="Times New Roman"/>
          <w:sz w:val="23"/>
          <w:szCs w:val="23"/>
          <w:lang w:val="ro-RO"/>
        </w:rPr>
        <w:t>corelat</w:t>
      </w:r>
      <w:r w:rsidR="00323E2F" w:rsidRPr="007C266E">
        <w:rPr>
          <w:rFonts w:ascii="Times New Roman" w:hAnsi="Times New Roman" w:cs="Times New Roman"/>
          <w:sz w:val="23"/>
          <w:szCs w:val="23"/>
          <w:lang w:val="ro-RO"/>
        </w:rPr>
        <w:t>ă</w:t>
      </w:r>
      <w:r w:rsidR="00581A6F" w:rsidRPr="007C266E">
        <w:rPr>
          <w:rFonts w:ascii="Times New Roman" w:hAnsi="Times New Roman" w:cs="Times New Roman"/>
          <w:sz w:val="23"/>
          <w:szCs w:val="23"/>
          <w:lang w:val="ro-RO"/>
        </w:rPr>
        <w:t xml:space="preserve"> cu valoarea </w:t>
      </w:r>
      <w:r w:rsidRPr="007C266E">
        <w:rPr>
          <w:rFonts w:ascii="Times New Roman" w:hAnsi="Times New Roman" w:cs="Times New Roman"/>
          <w:sz w:val="23"/>
          <w:szCs w:val="23"/>
          <w:lang w:val="ro-RO"/>
        </w:rPr>
        <w:t xml:space="preserve">cheltuielilor de investiții. </w:t>
      </w:r>
    </w:p>
    <w:p w14:paraId="7503768E"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0E82DF5" w14:textId="77777777" w:rsidR="007F20EF"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Obiectivele strategice vor fi îndeplinite simultan printr-un set de </w:t>
      </w:r>
      <w:r w:rsidR="00E044B0" w:rsidRPr="007C266E">
        <w:rPr>
          <w:rFonts w:ascii="Times New Roman" w:hAnsi="Times New Roman" w:cs="Times New Roman"/>
          <w:sz w:val="23"/>
          <w:szCs w:val="23"/>
          <w:lang w:val="ro-RO"/>
        </w:rPr>
        <w:t>politici și măsuri</w:t>
      </w:r>
      <w:r w:rsidRPr="007C266E">
        <w:rPr>
          <w:rFonts w:ascii="Times New Roman" w:hAnsi="Times New Roman" w:cs="Times New Roman"/>
          <w:sz w:val="23"/>
          <w:szCs w:val="23"/>
          <w:lang w:val="ro-RO"/>
        </w:rPr>
        <w:t xml:space="preserve"> ce </w:t>
      </w:r>
      <w:r w:rsidR="00CC6BE7" w:rsidRPr="007C266E">
        <w:rPr>
          <w:rFonts w:ascii="Times New Roman" w:hAnsi="Times New Roman" w:cs="Times New Roman"/>
          <w:sz w:val="23"/>
          <w:szCs w:val="23"/>
          <w:lang w:val="ro-RO"/>
        </w:rPr>
        <w:t>îns</w:t>
      </w:r>
      <w:r w:rsidRPr="007C266E">
        <w:rPr>
          <w:rFonts w:ascii="Times New Roman" w:hAnsi="Times New Roman" w:cs="Times New Roman"/>
          <w:sz w:val="23"/>
          <w:szCs w:val="23"/>
          <w:lang w:val="ro-RO"/>
        </w:rPr>
        <w:t>u</w:t>
      </w:r>
      <w:r w:rsidR="00CC6BE7" w:rsidRPr="007C266E">
        <w:rPr>
          <w:rFonts w:ascii="Times New Roman" w:hAnsi="Times New Roman" w:cs="Times New Roman"/>
          <w:sz w:val="23"/>
          <w:szCs w:val="23"/>
          <w:lang w:val="ro-RO"/>
        </w:rPr>
        <w:t>mează</w:t>
      </w:r>
      <w:r w:rsidRPr="007C266E">
        <w:rPr>
          <w:rFonts w:ascii="Times New Roman" w:hAnsi="Times New Roman" w:cs="Times New Roman"/>
          <w:sz w:val="23"/>
          <w:szCs w:val="23"/>
          <w:lang w:val="ro-RO"/>
        </w:rPr>
        <w:t xml:space="preserve"> acțiuni</w:t>
      </w:r>
      <w:r w:rsidR="00E044B0" w:rsidRPr="007C266E">
        <w:rPr>
          <w:rFonts w:ascii="Times New Roman" w:hAnsi="Times New Roman" w:cs="Times New Roman"/>
          <w:sz w:val="23"/>
          <w:szCs w:val="23"/>
          <w:lang w:val="ro-RO"/>
        </w:rPr>
        <w:t xml:space="preserve"> și </w:t>
      </w:r>
      <w:r w:rsidR="004E0D8D" w:rsidRPr="007C266E">
        <w:rPr>
          <w:rFonts w:ascii="Times New Roman" w:hAnsi="Times New Roman" w:cs="Times New Roman"/>
          <w:sz w:val="23"/>
          <w:szCs w:val="23"/>
          <w:lang w:val="ro-RO"/>
        </w:rPr>
        <w:t xml:space="preserve">investiții </w:t>
      </w:r>
      <w:r w:rsidRPr="007C266E">
        <w:rPr>
          <w:rFonts w:ascii="Times New Roman" w:hAnsi="Times New Roman" w:cs="Times New Roman"/>
          <w:sz w:val="23"/>
          <w:szCs w:val="23"/>
          <w:lang w:val="ro-RO"/>
        </w:rPr>
        <w:t xml:space="preserve">prioritare eșalonate în timp, cu un calendar de realizare pe termen scurt, mediu și lung. </w:t>
      </w:r>
    </w:p>
    <w:p w14:paraId="0637D9F6" w14:textId="77777777" w:rsidR="00F204F8" w:rsidRPr="007C266E" w:rsidRDefault="00F204F8" w:rsidP="00393588">
      <w:pPr>
        <w:pStyle w:val="Heading2"/>
        <w:spacing w:line="240" w:lineRule="auto"/>
        <w:rPr>
          <w:rFonts w:ascii="Times New Roman" w:hAnsi="Times New Roman" w:cs="Times New Roman"/>
          <w:sz w:val="23"/>
          <w:szCs w:val="23"/>
          <w:lang w:val="ro-RO"/>
        </w:rPr>
      </w:pPr>
      <w:bookmarkStart w:id="6" w:name="_Toc44400854"/>
      <w:r w:rsidRPr="007C266E">
        <w:rPr>
          <w:rFonts w:ascii="Times New Roman" w:hAnsi="Times New Roman" w:cs="Times New Roman"/>
          <w:sz w:val="23"/>
          <w:szCs w:val="23"/>
          <w:lang w:val="ro-RO"/>
        </w:rPr>
        <w:t>II.1.</w:t>
      </w:r>
      <w:r w:rsidRPr="007C266E">
        <w:rPr>
          <w:rFonts w:ascii="Times New Roman" w:hAnsi="Times New Roman" w:cs="Times New Roman"/>
          <w:sz w:val="23"/>
          <w:szCs w:val="23"/>
          <w:lang w:val="ro-RO"/>
        </w:rPr>
        <w:tab/>
        <w:t xml:space="preserve">Modernizarea sistemului de guvernanță </w:t>
      </w:r>
      <w:r w:rsidR="00471096" w:rsidRPr="007C266E">
        <w:rPr>
          <w:rFonts w:ascii="Times New Roman" w:hAnsi="Times New Roman" w:cs="Times New Roman"/>
          <w:sz w:val="23"/>
          <w:szCs w:val="23"/>
          <w:lang w:val="ro-RO"/>
        </w:rPr>
        <w:t xml:space="preserve">corporativă </w:t>
      </w:r>
      <w:r w:rsidR="00E55FF2" w:rsidRPr="007C266E">
        <w:rPr>
          <w:rFonts w:ascii="Times New Roman" w:hAnsi="Times New Roman" w:cs="Times New Roman"/>
          <w:sz w:val="23"/>
          <w:szCs w:val="23"/>
          <w:lang w:val="ro-RO"/>
        </w:rPr>
        <w:t xml:space="preserve">și </w:t>
      </w:r>
      <w:r w:rsidR="00E421EA" w:rsidRPr="007C266E">
        <w:rPr>
          <w:rFonts w:ascii="Times New Roman" w:hAnsi="Times New Roman" w:cs="Times New Roman"/>
          <w:sz w:val="23"/>
          <w:szCs w:val="23"/>
          <w:lang w:val="ro-RO"/>
        </w:rPr>
        <w:t xml:space="preserve">a </w:t>
      </w:r>
      <w:r w:rsidR="00E55FF2" w:rsidRPr="007C266E">
        <w:rPr>
          <w:rFonts w:ascii="Times New Roman" w:hAnsi="Times New Roman" w:cs="Times New Roman"/>
          <w:sz w:val="23"/>
          <w:szCs w:val="23"/>
          <w:lang w:val="ro-RO"/>
        </w:rPr>
        <w:t>capacității instituționale</w:t>
      </w:r>
      <w:bookmarkEnd w:id="6"/>
      <w:r w:rsidR="00471096" w:rsidRPr="007C266E">
        <w:rPr>
          <w:rFonts w:ascii="Times New Roman" w:hAnsi="Times New Roman" w:cs="Times New Roman"/>
          <w:sz w:val="23"/>
          <w:szCs w:val="23"/>
          <w:lang w:val="ro-RO"/>
        </w:rPr>
        <w:t xml:space="preserve"> de reglementare</w:t>
      </w:r>
    </w:p>
    <w:p w14:paraId="27B1708F" w14:textId="77777777" w:rsidR="00F204F8" w:rsidRPr="007C266E" w:rsidRDefault="00F204F8" w:rsidP="006E1D2D">
      <w:pPr>
        <w:spacing w:after="0" w:line="240" w:lineRule="auto"/>
        <w:jc w:val="both"/>
        <w:rPr>
          <w:rFonts w:ascii="Times New Roman" w:hAnsi="Times New Roman" w:cs="Times New Roman"/>
          <w:sz w:val="23"/>
          <w:szCs w:val="23"/>
          <w:lang w:val="ro-RO"/>
        </w:rPr>
      </w:pPr>
    </w:p>
    <w:p w14:paraId="5D37EEA5" w14:textId="77777777" w:rsidR="00F204F8" w:rsidRPr="007C266E" w:rsidRDefault="00F204F8" w:rsidP="0038022C">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Statul deține un dublu rol în sectorul energetic: pe de-o parte, este legiuitor, reglementator și implementator de politici energetice, iar pe de altă parte este deținător și administrator de active sau acționar semnificativ atât în segmentele de monopol natural (</w:t>
      </w:r>
      <w:r w:rsidR="00E421EA" w:rsidRPr="007C266E">
        <w:rPr>
          <w:rFonts w:ascii="Times New Roman" w:hAnsi="Times New Roman" w:cs="Times New Roman"/>
          <w:sz w:val="23"/>
          <w:szCs w:val="23"/>
          <w:lang w:val="ro-RO"/>
        </w:rPr>
        <w:t xml:space="preserve">transportul de țiței, </w:t>
      </w:r>
      <w:r w:rsidRPr="007C266E">
        <w:rPr>
          <w:rFonts w:ascii="Times New Roman" w:hAnsi="Times New Roman" w:cs="Times New Roman"/>
          <w:sz w:val="23"/>
          <w:szCs w:val="23"/>
          <w:lang w:val="ro-RO"/>
        </w:rPr>
        <w:t xml:space="preserve">transportul și distribuția de energie electrică și gaz natural), cât și în producție. </w:t>
      </w:r>
    </w:p>
    <w:p w14:paraId="45CB21D5" w14:textId="77777777" w:rsidR="00F204F8" w:rsidRPr="007C266E" w:rsidRDefault="00F204F8" w:rsidP="00A86877">
      <w:pPr>
        <w:spacing w:after="0" w:line="240" w:lineRule="auto"/>
        <w:jc w:val="both"/>
        <w:rPr>
          <w:rFonts w:ascii="Times New Roman" w:hAnsi="Times New Roman" w:cs="Times New Roman"/>
          <w:sz w:val="23"/>
          <w:szCs w:val="23"/>
          <w:lang w:val="ro-RO"/>
        </w:rPr>
      </w:pPr>
    </w:p>
    <w:p w14:paraId="1CDDC5D1" w14:textId="77777777" w:rsidR="00E3556B" w:rsidRPr="007C266E" w:rsidRDefault="00F204F8"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Într-un sistem </w:t>
      </w:r>
      <w:r w:rsidR="003C5ED6" w:rsidRPr="007C266E">
        <w:rPr>
          <w:rFonts w:ascii="Times New Roman" w:hAnsi="Times New Roman" w:cs="Times New Roman"/>
          <w:sz w:val="23"/>
          <w:szCs w:val="23"/>
          <w:lang w:val="ro-RO"/>
        </w:rPr>
        <w:t xml:space="preserve">consolidat </w:t>
      </w:r>
      <w:r w:rsidRPr="007C266E">
        <w:rPr>
          <w:rFonts w:ascii="Times New Roman" w:hAnsi="Times New Roman" w:cs="Times New Roman"/>
          <w:sz w:val="23"/>
          <w:szCs w:val="23"/>
          <w:lang w:val="ro-RO"/>
        </w:rPr>
        <w:t xml:space="preserve">de piață, statul are rolul esențial de arbitru și de reglementator al piețelor. În acest sens, este necesar un cadru legislativ și de reglementare transparent, coerent, echitabil și stabil. </w:t>
      </w:r>
      <w:r w:rsidR="00F94A48" w:rsidRPr="007C266E">
        <w:rPr>
          <w:rFonts w:ascii="Times New Roman" w:hAnsi="Times New Roman" w:cs="Times New Roman"/>
          <w:sz w:val="23"/>
          <w:szCs w:val="23"/>
          <w:lang w:val="ro-RO"/>
        </w:rPr>
        <w:t xml:space="preserve">Ministerul Economiei, Energiei și Mediului de Afaceri va promova necesitatea </w:t>
      </w:r>
      <w:r w:rsidR="005D7964" w:rsidRPr="007C266E">
        <w:rPr>
          <w:rFonts w:ascii="Times New Roman" w:hAnsi="Times New Roman" w:cs="Times New Roman"/>
          <w:sz w:val="23"/>
          <w:szCs w:val="23"/>
          <w:lang w:val="ro-RO"/>
        </w:rPr>
        <w:t>unei guvernanțe</w:t>
      </w:r>
      <w:r w:rsidR="00484E2C" w:rsidRPr="007C266E">
        <w:rPr>
          <w:rFonts w:ascii="Times New Roman" w:hAnsi="Times New Roman" w:cs="Times New Roman"/>
          <w:sz w:val="23"/>
          <w:szCs w:val="23"/>
          <w:lang w:val="ro-RO"/>
        </w:rPr>
        <w:t xml:space="preserve"> corporative</w:t>
      </w:r>
      <w:r w:rsidR="005D7964" w:rsidRPr="007C266E">
        <w:rPr>
          <w:rFonts w:ascii="Times New Roman" w:hAnsi="Times New Roman" w:cs="Times New Roman"/>
          <w:sz w:val="23"/>
          <w:szCs w:val="23"/>
          <w:lang w:val="ro-RO"/>
        </w:rPr>
        <w:t xml:space="preserve"> bazată pe competență, eficiență și integritate</w:t>
      </w:r>
      <w:r w:rsidR="00F94A48" w:rsidRPr="007C266E">
        <w:rPr>
          <w:rFonts w:ascii="Times New Roman" w:hAnsi="Times New Roman" w:cs="Times New Roman"/>
          <w:sz w:val="23"/>
          <w:szCs w:val="23"/>
          <w:lang w:val="ro-RO"/>
        </w:rPr>
        <w:t xml:space="preserve"> </w:t>
      </w:r>
      <w:r w:rsidR="005D7964" w:rsidRPr="007C266E">
        <w:rPr>
          <w:rFonts w:ascii="Times New Roman" w:hAnsi="Times New Roman" w:cs="Times New Roman"/>
          <w:sz w:val="23"/>
          <w:szCs w:val="23"/>
          <w:lang w:val="ro-RO"/>
        </w:rPr>
        <w:t>în sectorul</w:t>
      </w:r>
      <w:r w:rsidR="00F94A48" w:rsidRPr="007C266E">
        <w:rPr>
          <w:rFonts w:ascii="Times New Roman" w:hAnsi="Times New Roman" w:cs="Times New Roman"/>
          <w:sz w:val="23"/>
          <w:szCs w:val="23"/>
          <w:lang w:val="ro-RO"/>
        </w:rPr>
        <w:t xml:space="preserve"> energetic românesc</w:t>
      </w:r>
      <w:r w:rsidR="005D7964" w:rsidRPr="007C266E">
        <w:rPr>
          <w:rFonts w:ascii="Times New Roman" w:hAnsi="Times New Roman" w:cs="Times New Roman"/>
          <w:sz w:val="23"/>
          <w:szCs w:val="23"/>
          <w:lang w:val="ro-RO"/>
        </w:rPr>
        <w:t xml:space="preserve"> și va efectua o analiză a performanței financiare și manageriale a companiilor din domeniul energetic</w:t>
      </w:r>
      <w:r w:rsidR="00191D38" w:rsidRPr="007C266E">
        <w:rPr>
          <w:rFonts w:ascii="Times New Roman" w:hAnsi="Times New Roman" w:cs="Times New Roman"/>
          <w:sz w:val="23"/>
          <w:szCs w:val="23"/>
          <w:lang w:val="ro-RO"/>
        </w:rPr>
        <w:t>, la care statul român deține participații</w:t>
      </w:r>
      <w:r w:rsidR="00F94A48" w:rsidRPr="007C266E">
        <w:rPr>
          <w:rFonts w:ascii="Times New Roman" w:hAnsi="Times New Roman" w:cs="Times New Roman"/>
          <w:sz w:val="23"/>
          <w:szCs w:val="23"/>
          <w:lang w:val="ro-RO"/>
        </w:rPr>
        <w:t>.</w:t>
      </w:r>
      <w:r w:rsidR="00E3556B" w:rsidRPr="007C266E">
        <w:rPr>
          <w:rFonts w:ascii="Times New Roman" w:hAnsi="Times New Roman" w:cs="Times New Roman"/>
          <w:sz w:val="23"/>
          <w:szCs w:val="23"/>
          <w:lang w:val="ro-RO"/>
        </w:rPr>
        <w:t xml:space="preserve"> </w:t>
      </w:r>
    </w:p>
    <w:p w14:paraId="02FAA9D0" w14:textId="77777777" w:rsidR="00E55FF2" w:rsidRPr="007C266E" w:rsidRDefault="00E55FF2" w:rsidP="009E5804">
      <w:pPr>
        <w:spacing w:after="0" w:line="240" w:lineRule="auto"/>
        <w:jc w:val="both"/>
        <w:rPr>
          <w:rFonts w:ascii="Times New Roman" w:hAnsi="Times New Roman" w:cs="Times New Roman"/>
          <w:sz w:val="23"/>
          <w:szCs w:val="23"/>
          <w:lang w:val="ro-RO"/>
        </w:rPr>
      </w:pPr>
    </w:p>
    <w:p w14:paraId="65513D98" w14:textId="77777777" w:rsidR="00E55FF2" w:rsidRPr="007C266E" w:rsidRDefault="00CC4188"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Cu privire la rolul statului de legiuitor, reglementator și implementator de politici energetice, dezvoltarea capacității instituționale reprezintă un </w:t>
      </w:r>
      <w:r w:rsidR="00D64C4C" w:rsidRPr="007C266E">
        <w:rPr>
          <w:rFonts w:ascii="Times New Roman" w:hAnsi="Times New Roman" w:cs="Times New Roman"/>
          <w:sz w:val="23"/>
          <w:szCs w:val="23"/>
          <w:lang w:val="ro-RO"/>
        </w:rPr>
        <w:t xml:space="preserve">obiectiv strategic </w:t>
      </w:r>
      <w:r w:rsidR="00D64C4C" w:rsidRPr="007C266E">
        <w:rPr>
          <w:rFonts w:ascii="Times New Roman" w:hAnsi="Times New Roman" w:cs="Times New Roman"/>
          <w:sz w:val="23"/>
          <w:szCs w:val="23"/>
          <w:lang w:val="ro-RO"/>
        </w:rPr>
        <w:lastRenderedPageBreak/>
        <w:t>important. Vor fi sprijinite acțiuni care vizează pregătirea personalului calificat, precum și dezvoltarea capacității interne a autorităților de reglementare de a procesa și preluc</w:t>
      </w:r>
      <w:r w:rsidR="00F871B0" w:rsidRPr="007C266E">
        <w:rPr>
          <w:rFonts w:ascii="Times New Roman" w:hAnsi="Times New Roman" w:cs="Times New Roman"/>
          <w:sz w:val="23"/>
          <w:szCs w:val="23"/>
          <w:lang w:val="ro-RO"/>
        </w:rPr>
        <w:t>r</w:t>
      </w:r>
      <w:r w:rsidR="00D64C4C" w:rsidRPr="007C266E">
        <w:rPr>
          <w:rFonts w:ascii="Times New Roman" w:hAnsi="Times New Roman" w:cs="Times New Roman"/>
          <w:sz w:val="23"/>
          <w:szCs w:val="23"/>
          <w:lang w:val="ro-RO"/>
        </w:rPr>
        <w:t>a date ș</w:t>
      </w:r>
      <w:r w:rsidR="00477376" w:rsidRPr="007C266E">
        <w:rPr>
          <w:rFonts w:ascii="Times New Roman" w:hAnsi="Times New Roman" w:cs="Times New Roman"/>
          <w:sz w:val="23"/>
          <w:szCs w:val="23"/>
          <w:lang w:val="ro-RO"/>
        </w:rPr>
        <w:t>i efectua analize aprofundate.</w:t>
      </w:r>
    </w:p>
    <w:p w14:paraId="4BACDF22" w14:textId="77777777" w:rsidR="00F204F8" w:rsidRPr="007C266E" w:rsidRDefault="00F204F8"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Ca proprietar de active, statul trebuie să îmbunătățească managementul companiilor la care deține participații. Companiile energetice cu capital de stat trebuie să se eficientizeze, să se profesionalizeze</w:t>
      </w:r>
      <w:r w:rsidR="00484E2C" w:rsidRPr="007C266E">
        <w:rPr>
          <w:rFonts w:ascii="Times New Roman" w:hAnsi="Times New Roman" w:cs="Times New Roman"/>
          <w:b/>
          <w:sz w:val="23"/>
          <w:szCs w:val="23"/>
          <w:lang w:val="ro-RO"/>
        </w:rPr>
        <w:t xml:space="preserve"> managementul</w:t>
      </w:r>
      <w:r w:rsidRPr="007C266E">
        <w:rPr>
          <w:rFonts w:ascii="Times New Roman" w:hAnsi="Times New Roman" w:cs="Times New Roman"/>
          <w:b/>
          <w:sz w:val="23"/>
          <w:szCs w:val="23"/>
          <w:lang w:val="ro-RO"/>
        </w:rPr>
        <w:t xml:space="preserve"> și să se modernizeze.</w:t>
      </w:r>
    </w:p>
    <w:p w14:paraId="41F8E6CE" w14:textId="77777777" w:rsidR="00F204F8" w:rsidRPr="007C266E" w:rsidRDefault="00F204F8"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Profesionalizarea managementului și depolitizarea numirilor în companiile controlate de stat împreună cu supravegherea fără ingerințe a actului de administrare constituie, în special în sectorul energetic, imperative strategice.</w:t>
      </w:r>
    </w:p>
    <w:p w14:paraId="04BB434F" w14:textId="77777777" w:rsidR="007F20EF" w:rsidRPr="007C266E" w:rsidRDefault="007F20EF" w:rsidP="00393588">
      <w:pPr>
        <w:pStyle w:val="Heading2"/>
        <w:spacing w:line="240" w:lineRule="auto"/>
        <w:rPr>
          <w:rFonts w:ascii="Times New Roman" w:hAnsi="Times New Roman" w:cs="Times New Roman"/>
          <w:color w:val="auto"/>
          <w:sz w:val="23"/>
          <w:szCs w:val="23"/>
          <w:lang w:val="ro-RO"/>
        </w:rPr>
      </w:pPr>
      <w:bookmarkStart w:id="7" w:name="_Toc44400855"/>
      <w:r w:rsidRPr="007C266E">
        <w:rPr>
          <w:rFonts w:ascii="Times New Roman" w:hAnsi="Times New Roman" w:cs="Times New Roman"/>
          <w:sz w:val="23"/>
          <w:szCs w:val="23"/>
          <w:lang w:val="ro-RO"/>
        </w:rPr>
        <w:t>II.</w:t>
      </w:r>
      <w:r w:rsidR="00F204F8" w:rsidRPr="007C266E">
        <w:rPr>
          <w:rFonts w:ascii="Times New Roman" w:hAnsi="Times New Roman" w:cs="Times New Roman"/>
          <w:sz w:val="23"/>
          <w:szCs w:val="23"/>
          <w:lang w:val="ro-RO"/>
        </w:rPr>
        <w:t>2</w:t>
      </w:r>
      <w:r w:rsidRPr="007C266E">
        <w:rPr>
          <w:rFonts w:ascii="Times New Roman" w:hAnsi="Times New Roman" w:cs="Times New Roman"/>
          <w:sz w:val="23"/>
          <w:szCs w:val="23"/>
          <w:lang w:val="ro-RO"/>
        </w:rPr>
        <w:t>.</w:t>
      </w:r>
      <w:r w:rsidR="00F45A92" w:rsidRPr="007C266E">
        <w:rPr>
          <w:rFonts w:ascii="Times New Roman" w:hAnsi="Times New Roman" w:cs="Times New Roman"/>
          <w:sz w:val="23"/>
          <w:szCs w:val="23"/>
          <w:lang w:val="ro-RO"/>
        </w:rPr>
        <w:tab/>
      </w:r>
      <w:r w:rsidRPr="007C266E">
        <w:rPr>
          <w:rFonts w:ascii="Times New Roman" w:hAnsi="Times New Roman" w:cs="Times New Roman"/>
          <w:sz w:val="23"/>
          <w:szCs w:val="23"/>
          <w:lang w:val="ro-RO"/>
        </w:rPr>
        <w:t>Energie curată și eficiență energetică</w:t>
      </w:r>
      <w:bookmarkEnd w:id="7"/>
      <w:r w:rsidRPr="007C266E">
        <w:rPr>
          <w:rFonts w:ascii="Times New Roman" w:hAnsi="Times New Roman" w:cs="Times New Roman"/>
          <w:color w:val="auto"/>
          <w:sz w:val="23"/>
          <w:szCs w:val="23"/>
          <w:lang w:val="ro-RO"/>
        </w:rPr>
        <w:t xml:space="preserve"> </w:t>
      </w:r>
    </w:p>
    <w:p w14:paraId="1F11D257" w14:textId="77777777" w:rsidR="00EB5CE4" w:rsidRPr="007C266E" w:rsidRDefault="007F20EF" w:rsidP="006E1D2D">
      <w:pPr>
        <w:spacing w:before="120"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evoluția sectorului energetic, România  va urma cele mai bune practici de protecție a mediului, cu respectarea țintelor naționale asumate ca stat membru UE.</w:t>
      </w:r>
      <w:r w:rsidR="007D73A6" w:rsidRPr="007C266E">
        <w:rPr>
          <w:rFonts w:ascii="Times New Roman" w:hAnsi="Times New Roman" w:cs="Times New Roman"/>
          <w:sz w:val="23"/>
          <w:szCs w:val="23"/>
          <w:lang w:val="ro-RO"/>
        </w:rPr>
        <w:t xml:space="preserve"> </w:t>
      </w:r>
    </w:p>
    <w:p w14:paraId="09BF26A1" w14:textId="77777777" w:rsidR="001D33A4" w:rsidRPr="007C266E" w:rsidRDefault="001D33A4" w:rsidP="00393588">
      <w:pPr>
        <w:pStyle w:val="gmail-msolistparagraph"/>
        <w:spacing w:before="0" w:beforeAutospacing="0" w:after="0" w:afterAutospacing="0"/>
        <w:jc w:val="both"/>
        <w:rPr>
          <w:sz w:val="23"/>
          <w:szCs w:val="23"/>
          <w:lang w:val="ro-RO"/>
        </w:rPr>
      </w:pPr>
    </w:p>
    <w:p w14:paraId="0539ABDC" w14:textId="77777777" w:rsidR="0047475D" w:rsidRPr="007C266E" w:rsidRDefault="00FC523D" w:rsidP="006E1D2D">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contextul pachetului legislativ </w:t>
      </w:r>
      <w:r w:rsidR="00275F21" w:rsidRPr="007C266E">
        <w:rPr>
          <w:rFonts w:ascii="Times New Roman" w:hAnsi="Times New Roman" w:cs="Times New Roman"/>
          <w:i/>
          <w:sz w:val="23"/>
          <w:szCs w:val="23"/>
          <w:lang w:val="ro-RO"/>
        </w:rPr>
        <w:t>Energie curată pentru toț</w:t>
      </w:r>
      <w:r w:rsidRPr="007C266E">
        <w:rPr>
          <w:rFonts w:ascii="Times New Roman" w:hAnsi="Times New Roman" w:cs="Times New Roman"/>
          <w:i/>
          <w:sz w:val="23"/>
          <w:szCs w:val="23"/>
          <w:lang w:val="ro-RO"/>
        </w:rPr>
        <w:t>i europenii</w:t>
      </w:r>
      <w:r w:rsidRPr="007C266E">
        <w:rPr>
          <w:rFonts w:ascii="Times New Roman" w:hAnsi="Times New Roman" w:cs="Times New Roman"/>
          <w:sz w:val="23"/>
          <w:szCs w:val="23"/>
          <w:lang w:val="ro-RO"/>
        </w:rPr>
        <w:t xml:space="preserve"> și a </w:t>
      </w:r>
      <w:r w:rsidRPr="007C266E">
        <w:rPr>
          <w:rFonts w:ascii="Times New Roman" w:hAnsi="Times New Roman" w:cs="Times New Roman"/>
          <w:i/>
          <w:sz w:val="23"/>
          <w:szCs w:val="23"/>
          <w:lang w:val="ro-RO"/>
        </w:rPr>
        <w:t>Pactului Ecologic European</w:t>
      </w:r>
      <w:r w:rsidRPr="007C266E">
        <w:rPr>
          <w:rFonts w:ascii="Times New Roman" w:hAnsi="Times New Roman" w:cs="Times New Roman"/>
          <w:sz w:val="23"/>
          <w:szCs w:val="23"/>
          <w:lang w:val="ro-RO"/>
        </w:rPr>
        <w:t>, care impun transformarea sectorului energetic către un alt model de sistem, bazat pe tehnologii cura</w:t>
      </w:r>
      <w:r w:rsidR="00555793" w:rsidRPr="007C266E">
        <w:rPr>
          <w:rFonts w:ascii="Times New Roman" w:hAnsi="Times New Roman" w:cs="Times New Roman"/>
          <w:sz w:val="23"/>
          <w:szCs w:val="23"/>
          <w:lang w:val="ro-RO"/>
        </w:rPr>
        <w:t>te, inovatoare, care să facă faț</w:t>
      </w:r>
      <w:r w:rsidRPr="007C266E">
        <w:rPr>
          <w:rFonts w:ascii="Times New Roman" w:hAnsi="Times New Roman" w:cs="Times New Roman"/>
          <w:sz w:val="23"/>
          <w:szCs w:val="23"/>
          <w:lang w:val="ro-RO"/>
        </w:rPr>
        <w:t>ă concurenței pe o piață de electricitate integrată, se impune acomodarea sectorului energetic din România la noile tendințe de dezvoltare.</w:t>
      </w:r>
      <w:r w:rsidR="0047475D" w:rsidRPr="007C266E">
        <w:rPr>
          <w:rFonts w:ascii="Times New Roman" w:hAnsi="Times New Roman" w:cs="Times New Roman"/>
          <w:sz w:val="23"/>
          <w:szCs w:val="23"/>
          <w:lang w:val="ro-RO"/>
        </w:rPr>
        <w:t xml:space="preserve"> </w:t>
      </w:r>
      <w:r w:rsidR="007339A9" w:rsidRPr="007C266E">
        <w:rPr>
          <w:rFonts w:ascii="Times New Roman" w:hAnsi="Times New Roman" w:cs="Times New Roman"/>
          <w:sz w:val="23"/>
          <w:szCs w:val="23"/>
          <w:lang w:val="ro-RO"/>
        </w:rPr>
        <w:t>Î</w:t>
      </w:r>
      <w:r w:rsidR="0047475D" w:rsidRPr="007C266E">
        <w:rPr>
          <w:rFonts w:ascii="Times New Roman" w:hAnsi="Times New Roman" w:cs="Times New Roman"/>
          <w:sz w:val="23"/>
          <w:szCs w:val="23"/>
          <w:lang w:val="ro-RO"/>
        </w:rPr>
        <w:t>n acest context, de transformare profund</w:t>
      </w:r>
      <w:r w:rsidR="00555793" w:rsidRPr="007C266E">
        <w:rPr>
          <w:rFonts w:ascii="Times New Roman" w:hAnsi="Times New Roman" w:cs="Times New Roman"/>
          <w:sz w:val="23"/>
          <w:szCs w:val="23"/>
          <w:lang w:val="ro-RO"/>
        </w:rPr>
        <w:t>ă</w:t>
      </w:r>
      <w:r w:rsidR="0047475D" w:rsidRPr="007C266E">
        <w:rPr>
          <w:rFonts w:ascii="Times New Roman" w:hAnsi="Times New Roman" w:cs="Times New Roman"/>
          <w:sz w:val="23"/>
          <w:szCs w:val="23"/>
          <w:lang w:val="ro-RO"/>
        </w:rPr>
        <w:t xml:space="preserve"> a sistemului energetic, decarbonarea, cererea de energie </w:t>
      </w:r>
      <w:r w:rsidR="007339A9" w:rsidRPr="007C266E">
        <w:rPr>
          <w:rFonts w:ascii="Times New Roman" w:hAnsi="Times New Roman" w:cs="Times New Roman"/>
          <w:sz w:val="23"/>
          <w:szCs w:val="23"/>
          <w:lang w:val="ro-RO"/>
        </w:rPr>
        <w:t>ș</w:t>
      </w:r>
      <w:r w:rsidR="0047475D" w:rsidRPr="007C266E">
        <w:rPr>
          <w:rFonts w:ascii="Times New Roman" w:hAnsi="Times New Roman" w:cs="Times New Roman"/>
          <w:sz w:val="23"/>
          <w:szCs w:val="23"/>
          <w:lang w:val="ro-RO"/>
        </w:rPr>
        <w:t>i securitatea energetic</w:t>
      </w:r>
      <w:r w:rsidR="00555793" w:rsidRPr="007C266E">
        <w:rPr>
          <w:rFonts w:ascii="Times New Roman" w:hAnsi="Times New Roman" w:cs="Times New Roman"/>
          <w:sz w:val="23"/>
          <w:szCs w:val="23"/>
          <w:lang w:val="ro-RO"/>
        </w:rPr>
        <w:t>ă</w:t>
      </w:r>
      <w:r w:rsidR="0047475D" w:rsidRPr="007C266E">
        <w:rPr>
          <w:rFonts w:ascii="Times New Roman" w:hAnsi="Times New Roman" w:cs="Times New Roman"/>
          <w:sz w:val="23"/>
          <w:szCs w:val="23"/>
          <w:lang w:val="ro-RO"/>
        </w:rPr>
        <w:t xml:space="preserve"> sunt </w:t>
      </w:r>
      <w:r w:rsidR="007339A9" w:rsidRPr="007C266E">
        <w:rPr>
          <w:rFonts w:ascii="Times New Roman" w:hAnsi="Times New Roman" w:cs="Times New Roman"/>
          <w:sz w:val="23"/>
          <w:szCs w:val="23"/>
          <w:lang w:val="ro-RO"/>
        </w:rPr>
        <w:t>ș</w:t>
      </w:r>
      <w:r w:rsidR="0047475D" w:rsidRPr="007C266E">
        <w:rPr>
          <w:rFonts w:ascii="Times New Roman" w:hAnsi="Times New Roman" w:cs="Times New Roman"/>
          <w:sz w:val="23"/>
          <w:szCs w:val="23"/>
          <w:lang w:val="ro-RO"/>
        </w:rPr>
        <w:t>i vor fi interdependente. Aceast</w:t>
      </w:r>
      <w:r w:rsidR="00E61450" w:rsidRPr="007C266E">
        <w:rPr>
          <w:rFonts w:ascii="Times New Roman" w:hAnsi="Times New Roman" w:cs="Times New Roman"/>
          <w:sz w:val="23"/>
          <w:szCs w:val="23"/>
          <w:lang w:val="ro-RO"/>
        </w:rPr>
        <w:t>ă</w:t>
      </w:r>
      <w:r w:rsidR="0047475D" w:rsidRPr="007C266E">
        <w:rPr>
          <w:rFonts w:ascii="Times New Roman" w:hAnsi="Times New Roman" w:cs="Times New Roman"/>
          <w:sz w:val="23"/>
          <w:szCs w:val="23"/>
          <w:lang w:val="ro-RO"/>
        </w:rPr>
        <w:t xml:space="preserve"> interdependen</w:t>
      </w:r>
      <w:r w:rsidR="00477376" w:rsidRPr="007C266E">
        <w:rPr>
          <w:rFonts w:ascii="Times New Roman" w:hAnsi="Times New Roman" w:cs="Times New Roman"/>
          <w:sz w:val="23"/>
          <w:szCs w:val="23"/>
          <w:lang w:val="ro-RO"/>
        </w:rPr>
        <w:t>ț</w:t>
      </w:r>
      <w:r w:rsidR="00E61450" w:rsidRPr="007C266E">
        <w:rPr>
          <w:rFonts w:ascii="Times New Roman" w:hAnsi="Times New Roman" w:cs="Times New Roman"/>
          <w:sz w:val="23"/>
          <w:szCs w:val="23"/>
          <w:lang w:val="ro-RO"/>
        </w:rPr>
        <w:t>ă</w:t>
      </w:r>
      <w:r w:rsidR="0047475D" w:rsidRPr="007C266E">
        <w:rPr>
          <w:rFonts w:ascii="Times New Roman" w:hAnsi="Times New Roman" w:cs="Times New Roman"/>
          <w:sz w:val="23"/>
          <w:szCs w:val="23"/>
          <w:lang w:val="ro-RO"/>
        </w:rPr>
        <w:t xml:space="preserve"> trebuie corelat</w:t>
      </w:r>
      <w:r w:rsidR="00E61450" w:rsidRPr="007C266E">
        <w:rPr>
          <w:rFonts w:ascii="Times New Roman" w:hAnsi="Times New Roman" w:cs="Times New Roman"/>
          <w:sz w:val="23"/>
          <w:szCs w:val="23"/>
          <w:lang w:val="ro-RO"/>
        </w:rPr>
        <w:t>ă</w:t>
      </w:r>
      <w:r w:rsidR="0047475D" w:rsidRPr="007C266E">
        <w:rPr>
          <w:rFonts w:ascii="Times New Roman" w:hAnsi="Times New Roman" w:cs="Times New Roman"/>
          <w:sz w:val="23"/>
          <w:szCs w:val="23"/>
          <w:lang w:val="ro-RO"/>
        </w:rPr>
        <w:t xml:space="preserve"> cu progresul tehnologic, stocarea, descentralizarea, digitalizarea </w:t>
      </w:r>
      <w:r w:rsidR="007339A9" w:rsidRPr="007C266E">
        <w:rPr>
          <w:rFonts w:ascii="Times New Roman" w:hAnsi="Times New Roman" w:cs="Times New Roman"/>
          <w:sz w:val="23"/>
          <w:szCs w:val="23"/>
          <w:lang w:val="ro-RO"/>
        </w:rPr>
        <w:t>ș</w:t>
      </w:r>
      <w:r w:rsidR="0047475D" w:rsidRPr="007C266E">
        <w:rPr>
          <w:rFonts w:ascii="Times New Roman" w:hAnsi="Times New Roman" w:cs="Times New Roman"/>
          <w:sz w:val="23"/>
          <w:szCs w:val="23"/>
          <w:lang w:val="ro-RO"/>
        </w:rPr>
        <w:t>i adaptarea arhitecturii re</w:t>
      </w:r>
      <w:r w:rsidR="00555793" w:rsidRPr="007C266E">
        <w:rPr>
          <w:rFonts w:ascii="Times New Roman" w:hAnsi="Times New Roman" w:cs="Times New Roman"/>
          <w:sz w:val="23"/>
          <w:szCs w:val="23"/>
          <w:lang w:val="ro-RO"/>
        </w:rPr>
        <w:t>ț</w:t>
      </w:r>
      <w:r w:rsidR="0047475D" w:rsidRPr="007C266E">
        <w:rPr>
          <w:rFonts w:ascii="Times New Roman" w:hAnsi="Times New Roman" w:cs="Times New Roman"/>
          <w:sz w:val="23"/>
          <w:szCs w:val="23"/>
          <w:lang w:val="ro-RO"/>
        </w:rPr>
        <w:t>elelor.</w:t>
      </w:r>
    </w:p>
    <w:p w14:paraId="1082C156" w14:textId="77777777" w:rsidR="006F0C3D" w:rsidRPr="007C266E" w:rsidRDefault="006F0C3D" w:rsidP="00393588">
      <w:pPr>
        <w:spacing w:after="0" w:line="240" w:lineRule="auto"/>
        <w:jc w:val="both"/>
        <w:rPr>
          <w:rFonts w:ascii="Times New Roman" w:hAnsi="Times New Roman" w:cs="Times New Roman"/>
          <w:sz w:val="23"/>
          <w:szCs w:val="23"/>
          <w:lang w:val="ro-RO"/>
        </w:rPr>
      </w:pPr>
    </w:p>
    <w:p w14:paraId="033FAC61" w14:textId="77777777" w:rsidR="002C0039" w:rsidRPr="007C266E" w:rsidRDefault="0047475D"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Pentru a putea garanta succesul procesului de tranzitie, este nevoie </w:t>
      </w:r>
      <w:r w:rsidR="00CC0B33" w:rsidRPr="007C266E">
        <w:rPr>
          <w:rFonts w:ascii="Times New Roman" w:hAnsi="Times New Roman" w:cs="Times New Roman"/>
          <w:sz w:val="23"/>
          <w:szCs w:val="23"/>
          <w:lang w:val="ro-RO"/>
        </w:rPr>
        <w:t xml:space="preserve">de o abordare flexibilă, care să </w:t>
      </w:r>
      <w:r w:rsidR="002C0039" w:rsidRPr="007C266E">
        <w:rPr>
          <w:rFonts w:ascii="Times New Roman" w:hAnsi="Times New Roman" w:cs="Times New Roman"/>
          <w:sz w:val="23"/>
          <w:szCs w:val="23"/>
          <w:lang w:val="ro-RO"/>
        </w:rPr>
        <w:t xml:space="preserve">facă posibilă o corelare eficientă între necesarul de investiții, </w:t>
      </w:r>
      <w:r w:rsidR="00CC0B33" w:rsidRPr="007C266E">
        <w:rPr>
          <w:rFonts w:ascii="Times New Roman" w:hAnsi="Times New Roman" w:cs="Times New Roman"/>
          <w:sz w:val="23"/>
          <w:szCs w:val="23"/>
          <w:lang w:val="ro-RO"/>
        </w:rPr>
        <w:t xml:space="preserve">gradul de maturitate al </w:t>
      </w:r>
      <w:r w:rsidR="00CC0B33" w:rsidRPr="007C266E">
        <w:rPr>
          <w:rFonts w:ascii="Times New Roman" w:hAnsi="Times New Roman" w:cs="Times New Roman"/>
          <w:sz w:val="23"/>
          <w:szCs w:val="23"/>
          <w:lang w:val="ro-RO"/>
        </w:rPr>
        <w:lastRenderedPageBreak/>
        <w:t>tehnologiilor</w:t>
      </w:r>
      <w:r w:rsidR="002C0039" w:rsidRPr="007C266E">
        <w:rPr>
          <w:rFonts w:ascii="Times New Roman" w:hAnsi="Times New Roman" w:cs="Times New Roman"/>
          <w:sz w:val="23"/>
          <w:szCs w:val="23"/>
          <w:lang w:val="ro-RO"/>
        </w:rPr>
        <w:t xml:space="preserve"> precum și </w:t>
      </w:r>
      <w:r w:rsidR="00CC0B33" w:rsidRPr="007C266E">
        <w:rPr>
          <w:rFonts w:ascii="Times New Roman" w:hAnsi="Times New Roman" w:cs="Times New Roman"/>
          <w:sz w:val="23"/>
          <w:szCs w:val="23"/>
          <w:lang w:val="ro-RO"/>
        </w:rPr>
        <w:t xml:space="preserve">specificitățile </w:t>
      </w:r>
      <w:r w:rsidR="002C0039" w:rsidRPr="007C266E">
        <w:rPr>
          <w:rFonts w:ascii="Times New Roman" w:hAnsi="Times New Roman" w:cs="Times New Roman"/>
          <w:sz w:val="23"/>
          <w:szCs w:val="23"/>
          <w:lang w:val="ro-RO"/>
        </w:rPr>
        <w:t>climatologice și geopolitice ale României și nu în ultimul rând, cu monitorizarea implicațiilor economice și sociale,</w:t>
      </w:r>
      <w:r w:rsidR="00DC392B" w:rsidRPr="007C266E">
        <w:rPr>
          <w:rFonts w:ascii="Times New Roman" w:hAnsi="Times New Roman" w:cs="Times New Roman"/>
          <w:sz w:val="23"/>
          <w:szCs w:val="23"/>
          <w:lang w:val="ro-RO"/>
        </w:rPr>
        <w:t xml:space="preserve"> </w:t>
      </w:r>
      <w:r w:rsidR="002C0039" w:rsidRPr="007C266E">
        <w:rPr>
          <w:rFonts w:ascii="Times New Roman" w:hAnsi="Times New Roman" w:cs="Times New Roman"/>
          <w:sz w:val="23"/>
          <w:szCs w:val="23"/>
          <w:lang w:val="ro-RO"/>
        </w:rPr>
        <w:t>cu pregătirea și aplic</w:t>
      </w:r>
      <w:r w:rsidR="00275F21" w:rsidRPr="007C266E">
        <w:rPr>
          <w:rFonts w:ascii="Times New Roman" w:hAnsi="Times New Roman" w:cs="Times New Roman"/>
          <w:sz w:val="23"/>
          <w:szCs w:val="23"/>
          <w:lang w:val="ro-RO"/>
        </w:rPr>
        <w:t>area unor programe clare și susț</w:t>
      </w:r>
      <w:r w:rsidR="002C0039" w:rsidRPr="007C266E">
        <w:rPr>
          <w:rFonts w:ascii="Times New Roman" w:hAnsi="Times New Roman" w:cs="Times New Roman"/>
          <w:sz w:val="23"/>
          <w:szCs w:val="23"/>
          <w:lang w:val="ro-RO"/>
        </w:rPr>
        <w:t>inute pentru sprijinirea zonelor carbonifere aflate în tranziție.</w:t>
      </w:r>
    </w:p>
    <w:p w14:paraId="3CC4B831" w14:textId="77777777" w:rsidR="0047475D" w:rsidRPr="007C266E" w:rsidRDefault="0047475D" w:rsidP="006E1D2D">
      <w:pPr>
        <w:spacing w:after="0" w:line="240" w:lineRule="auto"/>
        <w:jc w:val="both"/>
        <w:rPr>
          <w:rFonts w:ascii="Times New Roman" w:hAnsi="Times New Roman" w:cs="Times New Roman"/>
          <w:sz w:val="23"/>
          <w:szCs w:val="23"/>
          <w:lang w:val="ro-RO"/>
        </w:rPr>
      </w:pPr>
    </w:p>
    <w:p w14:paraId="61DAF70F" w14:textId="77777777" w:rsidR="00CC0B33" w:rsidRPr="007C266E" w:rsidRDefault="00CC0B33" w:rsidP="0038022C">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Probleme</w:t>
      </w:r>
      <w:r w:rsidR="002C0039" w:rsidRPr="007C266E">
        <w:rPr>
          <w:rFonts w:ascii="Times New Roman" w:hAnsi="Times New Roman" w:cs="Times New Roman"/>
          <w:sz w:val="23"/>
          <w:szCs w:val="23"/>
          <w:lang w:val="ro-RO"/>
        </w:rPr>
        <w:t>le</w:t>
      </w:r>
      <w:r w:rsidRPr="007C266E">
        <w:rPr>
          <w:rFonts w:ascii="Times New Roman" w:hAnsi="Times New Roman" w:cs="Times New Roman"/>
          <w:sz w:val="23"/>
          <w:szCs w:val="23"/>
          <w:lang w:val="ro-RO"/>
        </w:rPr>
        <w:t xml:space="preserve"> esen</w:t>
      </w:r>
      <w:r w:rsidR="000F7E14"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iale r</w:t>
      </w:r>
      <w:r w:rsidR="000F7E14"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m</w:t>
      </w:r>
      <w:r w:rsidR="000F7E14" w:rsidRPr="007C266E">
        <w:rPr>
          <w:rFonts w:ascii="Times New Roman" w:hAnsi="Times New Roman" w:cs="Times New Roman"/>
          <w:sz w:val="23"/>
          <w:szCs w:val="23"/>
          <w:lang w:val="ro-RO"/>
        </w:rPr>
        <w:t>â</w:t>
      </w:r>
      <w:r w:rsidRPr="007C266E">
        <w:rPr>
          <w:rFonts w:ascii="Times New Roman" w:hAnsi="Times New Roman" w:cs="Times New Roman"/>
          <w:sz w:val="23"/>
          <w:szCs w:val="23"/>
          <w:lang w:val="ro-RO"/>
        </w:rPr>
        <w:t>n costurile finan</w:t>
      </w:r>
      <w:r w:rsidR="000F7E14" w:rsidRPr="007C266E">
        <w:rPr>
          <w:rFonts w:ascii="Times New Roman" w:hAnsi="Times New Roman" w:cs="Times New Roman"/>
          <w:sz w:val="23"/>
          <w:szCs w:val="23"/>
          <w:lang w:val="ro-RO"/>
        </w:rPr>
        <w:t>ță</w:t>
      </w:r>
      <w:r w:rsidRPr="007C266E">
        <w:rPr>
          <w:rFonts w:ascii="Times New Roman" w:hAnsi="Times New Roman" w:cs="Times New Roman"/>
          <w:sz w:val="23"/>
          <w:szCs w:val="23"/>
          <w:lang w:val="ro-RO"/>
        </w:rPr>
        <w:t>rii și larga raspândire a săraciei energetice</w:t>
      </w:r>
      <w:r w:rsidR="007017D5"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În acest context, finanțarea europeană este o necesitate. Procesul de transformare a sistemului energetic necesită un volum mare de investiții</w:t>
      </w:r>
      <w:r w:rsidR="00846BEA"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iar planificarea </w:t>
      </w:r>
      <w:r w:rsidR="00B416FC" w:rsidRPr="007C266E">
        <w:rPr>
          <w:rFonts w:ascii="Times New Roman" w:hAnsi="Times New Roman" w:cs="Times New Roman"/>
          <w:sz w:val="23"/>
          <w:szCs w:val="23"/>
          <w:lang w:val="ro-RO"/>
        </w:rPr>
        <w:t>multianuală</w:t>
      </w:r>
      <w:r w:rsidRPr="007C266E">
        <w:rPr>
          <w:rFonts w:ascii="Times New Roman" w:hAnsi="Times New Roman" w:cs="Times New Roman"/>
          <w:sz w:val="23"/>
          <w:szCs w:val="23"/>
          <w:lang w:val="ro-RO"/>
        </w:rPr>
        <w:t xml:space="preserve"> coordonată și utilizarea ef</w:t>
      </w:r>
      <w:r w:rsidR="00EC5422" w:rsidRPr="007C266E">
        <w:rPr>
          <w:rFonts w:ascii="Times New Roman" w:hAnsi="Times New Roman" w:cs="Times New Roman"/>
          <w:sz w:val="23"/>
          <w:szCs w:val="23"/>
          <w:lang w:val="ro-RO"/>
        </w:rPr>
        <w:t>i</w:t>
      </w:r>
      <w:r w:rsidRPr="007C266E">
        <w:rPr>
          <w:rFonts w:ascii="Times New Roman" w:hAnsi="Times New Roman" w:cs="Times New Roman"/>
          <w:sz w:val="23"/>
          <w:szCs w:val="23"/>
          <w:lang w:val="ro-RO"/>
        </w:rPr>
        <w:t>cientă a fondurilor pentru finanțare sunt condiții obligatorii. A acționa la timp înseamnă a economisi</w:t>
      </w:r>
      <w:r w:rsidR="006F0C3D"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Finanțarea trebui</w:t>
      </w:r>
      <w:r w:rsidR="00E3556B"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să fie direcționată în mod eficient către investiții care să țină cont de specific</w:t>
      </w:r>
      <w:r w:rsidR="006F0C3D" w:rsidRPr="007C266E">
        <w:rPr>
          <w:rFonts w:ascii="Times New Roman" w:hAnsi="Times New Roman" w:cs="Times New Roman"/>
          <w:sz w:val="23"/>
          <w:szCs w:val="23"/>
          <w:lang w:val="ro-RO"/>
        </w:rPr>
        <w:t xml:space="preserve">itățile interne </w:t>
      </w:r>
      <w:r w:rsidRPr="007C266E">
        <w:rPr>
          <w:rFonts w:ascii="Times New Roman" w:hAnsi="Times New Roman" w:cs="Times New Roman"/>
          <w:sz w:val="23"/>
          <w:szCs w:val="23"/>
          <w:lang w:val="ro-RO"/>
        </w:rPr>
        <w:t>și care să răspundă în timp util nevoilor sistemului energetic.</w:t>
      </w:r>
    </w:p>
    <w:p w14:paraId="2844E154" w14:textId="77777777" w:rsidR="00846BEA" w:rsidRPr="007C266E" w:rsidRDefault="00846BEA" w:rsidP="00A86877">
      <w:pPr>
        <w:spacing w:after="0" w:line="240" w:lineRule="auto"/>
        <w:jc w:val="both"/>
        <w:rPr>
          <w:rFonts w:ascii="Times New Roman" w:hAnsi="Times New Roman" w:cs="Times New Roman"/>
          <w:sz w:val="23"/>
          <w:szCs w:val="23"/>
          <w:lang w:val="ro-RO"/>
        </w:rPr>
      </w:pPr>
    </w:p>
    <w:p w14:paraId="7585160D" w14:textId="77777777" w:rsidR="00FC523D" w:rsidRPr="007C266E" w:rsidRDefault="00FC523D"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Aceasta presupune un volum investițional uriaș pe întreg lanțul tehnologic, de la producere de electricitate, la rețele inteligente de transport și distribuție gaze naturale </w:t>
      </w:r>
      <w:r w:rsidR="00E35E3E"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i electricitate</w:t>
      </w:r>
      <w:r w:rsidR="00E35E3E"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precum și la reformarea pieței de electricitate și gaze naturale care să facă față unui model nou, bazat pe capacit</w:t>
      </w:r>
      <w:r w:rsidR="00E35E3E"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ți energetice eficiente, curate, flexibile și tehnologii inovatoare într-un mediu concurențial regional dar și european.</w:t>
      </w:r>
    </w:p>
    <w:p w14:paraId="0DABD5F4" w14:textId="77777777" w:rsidR="00846BEA" w:rsidRPr="007C266E" w:rsidRDefault="00846BEA" w:rsidP="009E5804">
      <w:pPr>
        <w:spacing w:after="0" w:line="240" w:lineRule="auto"/>
        <w:jc w:val="both"/>
        <w:rPr>
          <w:rFonts w:ascii="Times New Roman" w:hAnsi="Times New Roman" w:cs="Times New Roman"/>
          <w:sz w:val="23"/>
          <w:szCs w:val="23"/>
          <w:lang w:val="ro-RO"/>
        </w:rPr>
      </w:pPr>
    </w:p>
    <w:p w14:paraId="143BB468" w14:textId="77777777" w:rsidR="0047475D" w:rsidRPr="007C266E" w:rsidRDefault="00F61493"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egală măsură, investițiile sunt oportunități reale </w:t>
      </w:r>
      <w:r w:rsidR="00C11E60" w:rsidRPr="007C266E">
        <w:rPr>
          <w:rFonts w:ascii="Times New Roman" w:hAnsi="Times New Roman" w:cs="Times New Roman"/>
          <w:sz w:val="23"/>
          <w:szCs w:val="23"/>
          <w:lang w:val="ro-RO"/>
        </w:rPr>
        <w:t>pentru creșterea calității serviciilor la consumatori</w:t>
      </w:r>
      <w:r w:rsidR="00984D06" w:rsidRPr="007C266E">
        <w:rPr>
          <w:rFonts w:ascii="Times New Roman" w:hAnsi="Times New Roman" w:cs="Times New Roman"/>
          <w:sz w:val="23"/>
          <w:szCs w:val="23"/>
          <w:lang w:val="ro-RO"/>
        </w:rPr>
        <w:t xml:space="preserve"> și </w:t>
      </w:r>
      <w:r w:rsidR="00796EC6" w:rsidRPr="007C266E">
        <w:rPr>
          <w:rFonts w:ascii="Times New Roman" w:hAnsi="Times New Roman" w:cs="Times New Roman"/>
          <w:sz w:val="23"/>
          <w:szCs w:val="23"/>
          <w:lang w:val="ro-RO"/>
        </w:rPr>
        <w:t>relansarea industriei locale prin crearea de locuri de muncă și revigorarea economiei.</w:t>
      </w:r>
      <w:r w:rsidR="00275F21" w:rsidRPr="007C266E">
        <w:rPr>
          <w:rFonts w:ascii="Times New Roman" w:hAnsi="Times New Roman" w:cs="Times New Roman"/>
          <w:sz w:val="23"/>
          <w:szCs w:val="23"/>
          <w:lang w:val="ro-RO"/>
        </w:rPr>
        <w:t xml:space="preserve"> </w:t>
      </w:r>
      <w:r w:rsidR="0047475D" w:rsidRPr="007C266E">
        <w:rPr>
          <w:rFonts w:ascii="Times New Roman" w:hAnsi="Times New Roman" w:cs="Times New Roman"/>
          <w:sz w:val="23"/>
          <w:szCs w:val="23"/>
          <w:lang w:val="ro-RO"/>
        </w:rPr>
        <w:t>Îmbunătățirea eficienței energetice de-a lungul întregului lanț energetic, inclusiv producția, transportul, distribuția și utilizarea finală de energie, va genera beneficii pentru mediu, va reduce emisiile de gaze cu efect de seră, va îmbunătăți securitatea energetică, va contribui la atenuarea sărăciei energetice și va duce la o creștere a competitivității</w:t>
      </w:r>
      <w:r w:rsidR="00F4293F" w:rsidRPr="007C266E">
        <w:rPr>
          <w:rFonts w:ascii="Times New Roman" w:hAnsi="Times New Roman" w:cs="Times New Roman"/>
          <w:sz w:val="23"/>
          <w:szCs w:val="23"/>
          <w:lang w:val="ro-RO"/>
        </w:rPr>
        <w:t xml:space="preserve"> </w:t>
      </w:r>
      <w:r w:rsidR="0047475D" w:rsidRPr="007C266E">
        <w:rPr>
          <w:rFonts w:ascii="Times New Roman" w:hAnsi="Times New Roman" w:cs="Times New Roman"/>
          <w:sz w:val="23"/>
          <w:szCs w:val="23"/>
          <w:lang w:val="ro-RO"/>
        </w:rPr>
        <w:t>activității economice la nivelul tuturor sectoarelor economiei</w:t>
      </w:r>
      <w:r w:rsidR="00F4293F" w:rsidRPr="007C266E">
        <w:rPr>
          <w:rFonts w:ascii="Times New Roman" w:hAnsi="Times New Roman" w:cs="Times New Roman"/>
          <w:sz w:val="23"/>
          <w:szCs w:val="23"/>
          <w:lang w:val="ro-RO"/>
        </w:rPr>
        <w:t>.</w:t>
      </w:r>
    </w:p>
    <w:p w14:paraId="5184A730" w14:textId="77777777" w:rsidR="00846BEA" w:rsidRPr="007C266E" w:rsidRDefault="00846BEA" w:rsidP="009E5804">
      <w:pPr>
        <w:spacing w:after="0" w:line="240" w:lineRule="auto"/>
        <w:jc w:val="both"/>
        <w:rPr>
          <w:rFonts w:ascii="Times New Roman" w:hAnsi="Times New Roman" w:cs="Times New Roman"/>
          <w:sz w:val="23"/>
          <w:szCs w:val="23"/>
          <w:lang w:val="ro-RO"/>
        </w:rPr>
      </w:pPr>
    </w:p>
    <w:p w14:paraId="690EB91F" w14:textId="77777777" w:rsidR="00296494" w:rsidRPr="007C266E" w:rsidRDefault="00CF6260"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Ca recunoa</w:t>
      </w:r>
      <w:r w:rsidR="00B52D8B"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tere a faptului c</w:t>
      </w:r>
      <w:r w:rsidR="007339A9"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eficien</w:t>
      </w:r>
      <w:r w:rsidR="005D54D9"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a energetic</w:t>
      </w:r>
      <w:r w:rsidR="007339A9"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este cea mai important</w:t>
      </w:r>
      <w:r w:rsidR="007339A9"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surs</w:t>
      </w:r>
      <w:r w:rsidR="007339A9"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intern</w:t>
      </w:r>
      <w:r w:rsidR="007339A9"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de energie din Europa, aceasta este considerat</w:t>
      </w:r>
      <w:r w:rsidR="007339A9"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un</w:t>
      </w:r>
      <w:r w:rsidR="00275F21" w:rsidRPr="007C266E">
        <w:rPr>
          <w:rFonts w:ascii="Times New Roman" w:hAnsi="Times New Roman" w:cs="Times New Roman"/>
          <w:sz w:val="23"/>
          <w:szCs w:val="23"/>
          <w:lang w:val="ro-RO"/>
        </w:rPr>
        <w:t xml:space="preserve"> principiu fundamental aplicat î</w:t>
      </w:r>
      <w:r w:rsidRPr="007C266E">
        <w:rPr>
          <w:rFonts w:ascii="Times New Roman" w:hAnsi="Times New Roman" w:cs="Times New Roman"/>
          <w:sz w:val="23"/>
          <w:szCs w:val="23"/>
          <w:lang w:val="ro-RO"/>
        </w:rPr>
        <w:t xml:space="preserve">n elaborarea politicilor </w:t>
      </w:r>
      <w:r w:rsidR="007339A9"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i a planurilor de investi</w:t>
      </w:r>
      <w:r w:rsidR="005D54D9" w:rsidRPr="007C266E">
        <w:rPr>
          <w:rFonts w:ascii="Times New Roman" w:hAnsi="Times New Roman" w:cs="Times New Roman"/>
          <w:sz w:val="23"/>
          <w:szCs w:val="23"/>
          <w:lang w:val="ro-RO"/>
        </w:rPr>
        <w:t>ț</w:t>
      </w:r>
      <w:r w:rsidR="00275F21" w:rsidRPr="007C266E">
        <w:rPr>
          <w:rFonts w:ascii="Times New Roman" w:hAnsi="Times New Roman" w:cs="Times New Roman"/>
          <w:sz w:val="23"/>
          <w:szCs w:val="23"/>
          <w:lang w:val="ro-RO"/>
        </w:rPr>
        <w:t>ii, î</w:t>
      </w:r>
      <w:r w:rsidRPr="007C266E">
        <w:rPr>
          <w:rFonts w:ascii="Times New Roman" w:hAnsi="Times New Roman" w:cs="Times New Roman"/>
          <w:sz w:val="23"/>
          <w:szCs w:val="23"/>
          <w:lang w:val="ro-RO"/>
        </w:rPr>
        <w:t>n sectorul energetic</w:t>
      </w:r>
      <w:r w:rsidR="00275F21"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pentru atingerea </w:t>
      </w:r>
      <w:r w:rsidR="005D54D9"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intelor de neutralitate climateric</w:t>
      </w:r>
      <w:r w:rsidR="007339A9" w:rsidRPr="007C266E">
        <w:rPr>
          <w:rFonts w:ascii="Times New Roman" w:hAnsi="Times New Roman" w:cs="Times New Roman"/>
          <w:sz w:val="23"/>
          <w:szCs w:val="23"/>
          <w:lang w:val="ro-RO"/>
        </w:rPr>
        <w:t>ă</w:t>
      </w:r>
      <w:r w:rsidR="00275F21" w:rsidRPr="007C266E">
        <w:rPr>
          <w:rFonts w:ascii="Times New Roman" w:hAnsi="Times New Roman" w:cs="Times New Roman"/>
          <w:sz w:val="23"/>
          <w:szCs w:val="23"/>
          <w:lang w:val="ro-RO"/>
        </w:rPr>
        <w:t>, și totodată</w:t>
      </w:r>
      <w:r w:rsidRPr="007C266E">
        <w:rPr>
          <w:rFonts w:ascii="Times New Roman" w:hAnsi="Times New Roman" w:cs="Times New Roman"/>
          <w:sz w:val="23"/>
          <w:szCs w:val="23"/>
          <w:lang w:val="ro-RO"/>
        </w:rPr>
        <w:t>, o prioritate strategic</w:t>
      </w:r>
      <w:r w:rsidR="007339A9"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la nivelul Uniunii Europene</w:t>
      </w:r>
      <w:r w:rsidR="007339A9" w:rsidRPr="007C266E">
        <w:rPr>
          <w:rFonts w:ascii="Times New Roman" w:hAnsi="Times New Roman" w:cs="Times New Roman"/>
          <w:sz w:val="23"/>
          <w:szCs w:val="23"/>
          <w:lang w:val="ro-RO"/>
        </w:rPr>
        <w:t>.</w:t>
      </w:r>
    </w:p>
    <w:p w14:paraId="74E0CE8C" w14:textId="77777777" w:rsidR="002F5C09" w:rsidRPr="007C266E" w:rsidRDefault="002F5C09" w:rsidP="002F5C09">
      <w:pPr>
        <w:spacing w:after="0" w:line="240" w:lineRule="auto"/>
        <w:jc w:val="both"/>
        <w:rPr>
          <w:rFonts w:ascii="Times New Roman" w:hAnsi="Times New Roman" w:cs="Times New Roman"/>
          <w:sz w:val="23"/>
          <w:szCs w:val="23"/>
          <w:lang w:val="ro-RO"/>
        </w:rPr>
      </w:pPr>
    </w:p>
    <w:p w14:paraId="6F60CD76" w14:textId="77777777" w:rsidR="002F5C09" w:rsidRPr="007C266E" w:rsidRDefault="002F5C09"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Implementarea Strategiei Naţionale de Renovare pe Termen Lung va contribui de asemenea semnificativ la îmbunătățirea eficienței energetice, atât în clădiri publice cât și private, rezidențiale și nerezidențiale, precum și la utilizarea surselor de energie regenerabilă, în special în sectorul de încălzire și răcire, și producerea descentralizată de energie, la orizontul anului 2050. </w:t>
      </w:r>
    </w:p>
    <w:p w14:paraId="6FB72AC4" w14:textId="77777777" w:rsidR="002F5C09" w:rsidRPr="007C266E" w:rsidRDefault="002F5C09" w:rsidP="002F5C09">
      <w:pPr>
        <w:spacing w:after="0" w:line="240" w:lineRule="auto"/>
        <w:jc w:val="both"/>
        <w:rPr>
          <w:rFonts w:ascii="Times New Roman" w:hAnsi="Times New Roman" w:cs="Times New Roman"/>
          <w:sz w:val="23"/>
          <w:szCs w:val="23"/>
          <w:lang w:val="ro-RO"/>
        </w:rPr>
      </w:pPr>
    </w:p>
    <w:p w14:paraId="60F087A1" w14:textId="77777777" w:rsidR="002F5C09" w:rsidRPr="007C266E" w:rsidRDefault="002F5C09"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Strategia de renovare pe termen lung (SRTL) inițiată de Ministerul Lucrărilor Publice, Dezvoltării și Administrației (MLPDA), contribuie la realizarea țintelor asumate de România. Deși principalele beneficii menționate în strategie vizează dimensiunea eficiență energetică, măsurile prevăzute în aceasta impactează și alte dimensiuni (Decarbonare – energia din surse regenerabile; respectiv emisiile și absorbțiile GES).</w:t>
      </w:r>
    </w:p>
    <w:p w14:paraId="06901105" w14:textId="77777777" w:rsidR="002F5C09" w:rsidRPr="007C266E" w:rsidRDefault="002F5C09" w:rsidP="002F5C09">
      <w:pPr>
        <w:spacing w:after="0" w:line="240" w:lineRule="auto"/>
        <w:jc w:val="both"/>
        <w:rPr>
          <w:rFonts w:ascii="Times New Roman" w:hAnsi="Times New Roman" w:cs="Times New Roman"/>
          <w:sz w:val="23"/>
          <w:szCs w:val="23"/>
          <w:lang w:val="ro-RO"/>
        </w:rPr>
      </w:pPr>
    </w:p>
    <w:p w14:paraId="5FE9A503" w14:textId="77777777" w:rsidR="002F5C09" w:rsidRPr="007C266E" w:rsidRDefault="002F5C09"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Astfel, SRTL vizează reabilitarea și renovarea clădirilor publice, rezidențiale, comerciale. Acest proiect presupune, suplimentar renovării clădirilor în scopul creșterii eficienței energetice, adoptarea tehnologiilor SRE precum instalarea de panouri solare termice, panouri fotovoltaice și pompe de căldură, ce vor susține îndeplinirea țintelor SRE-E și SRE-Î&amp;R la nivelul anului 2030, asigurând creșterea producției de energie din surse regenerabile cu peste 0,2 Mtep.</w:t>
      </w:r>
    </w:p>
    <w:p w14:paraId="216C46C6" w14:textId="77777777" w:rsidR="002F5C09" w:rsidRPr="007C266E" w:rsidRDefault="002F5C09" w:rsidP="002F5C09">
      <w:pPr>
        <w:spacing w:after="0" w:line="240" w:lineRule="auto"/>
        <w:jc w:val="both"/>
        <w:rPr>
          <w:rFonts w:ascii="Times New Roman" w:hAnsi="Times New Roman" w:cs="Times New Roman"/>
          <w:sz w:val="23"/>
          <w:szCs w:val="23"/>
          <w:lang w:val="ro-RO"/>
        </w:rPr>
      </w:pPr>
    </w:p>
    <w:p w14:paraId="51E3D5DF" w14:textId="77777777" w:rsidR="002F5C09" w:rsidRPr="007C266E" w:rsidRDefault="002F5C09"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După sectorul rezidențial, industria și transporturile, sunt sectoarele cu cea mai mare pondere în consumul final de energie. Având în vedere ponderea considerabilă în consumul de energie a sectorului industrial, cât și uzura echipamentelor utilizate, acest sector are un </w:t>
      </w:r>
      <w:r w:rsidRPr="007C266E">
        <w:rPr>
          <w:rFonts w:ascii="Times New Roman" w:hAnsi="Times New Roman" w:cs="Times New Roman"/>
          <w:sz w:val="23"/>
          <w:szCs w:val="23"/>
          <w:lang w:val="ro-RO"/>
        </w:rPr>
        <w:lastRenderedPageBreak/>
        <w:t>potențial semnificativ de aplicare a măsurilor de eficiență energetică în perioada 2021 – 2030. Până în 2024, o serie de mari consumatori industriali din România vor continua să investească în măsuri de eficiență energetică – în virtutea obligațiilor ce le revin ca urmare a realizării auditurilor energetice.</w:t>
      </w:r>
    </w:p>
    <w:p w14:paraId="2C90B1D7" w14:textId="77777777" w:rsidR="002F5C09" w:rsidRPr="007C266E" w:rsidRDefault="002F5C09" w:rsidP="002F5C09">
      <w:pPr>
        <w:spacing w:after="0" w:line="240" w:lineRule="auto"/>
        <w:jc w:val="both"/>
        <w:rPr>
          <w:rFonts w:ascii="Times New Roman" w:hAnsi="Times New Roman" w:cs="Times New Roman"/>
          <w:sz w:val="23"/>
          <w:szCs w:val="23"/>
          <w:lang w:val="ro-RO"/>
        </w:rPr>
      </w:pPr>
    </w:p>
    <w:p w14:paraId="4603592D" w14:textId="77777777" w:rsidR="002F5C09" w:rsidRPr="007C266E" w:rsidRDefault="002F5C09"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Astfel, prin conformarea la obligațiile referitoare la măsurile derivate din auditurile energetice și/sau din bunele practici în managementul energetic) corelat și cu programe și măsuri de stimulare a investițiilor în domeniu (inclusiv prin scheme de sprijin existente/fonduri europene nerambursabile în perioada 2021 - 2027), sectorul industrial va trebui să atingă un ritm anual de economii de cca. 0,6 Mtep în perioada 2021 – 2030.</w:t>
      </w:r>
    </w:p>
    <w:p w14:paraId="0980E58C" w14:textId="77777777" w:rsidR="002F5C09" w:rsidRPr="007C266E" w:rsidRDefault="002F5C09" w:rsidP="002F5C09">
      <w:pPr>
        <w:spacing w:after="0" w:line="240" w:lineRule="auto"/>
        <w:jc w:val="both"/>
        <w:rPr>
          <w:rFonts w:ascii="Times New Roman" w:hAnsi="Times New Roman" w:cs="Times New Roman"/>
          <w:sz w:val="23"/>
          <w:szCs w:val="23"/>
          <w:lang w:val="ro-RO"/>
        </w:rPr>
      </w:pPr>
    </w:p>
    <w:p w14:paraId="30F2E94D" w14:textId="77777777" w:rsidR="002F5C09" w:rsidRPr="007C266E" w:rsidRDefault="002F5C09"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Similar, în domeniul transporturilor sunt necesare economii anuale noi de aproximativ 0,6 Mtep în perioada 2021 – 2030. Pentru atingerea obiectivelor anuale vor fi necesare măsuri susținute în modernizarea transportului public urban și a celui feroviar. Nu în ultimul rând, încurajarea mobilității alternative poate contribui semnificativ la reducerea consumului de energie finală în transporturi.</w:t>
      </w:r>
    </w:p>
    <w:p w14:paraId="71ED06B6" w14:textId="77777777" w:rsidR="002F5C09" w:rsidRPr="007C266E" w:rsidRDefault="002F5C09" w:rsidP="002F5C09">
      <w:pPr>
        <w:spacing w:after="0" w:line="240" w:lineRule="auto"/>
        <w:jc w:val="both"/>
        <w:rPr>
          <w:rFonts w:ascii="Times New Roman" w:hAnsi="Times New Roman" w:cs="Times New Roman"/>
          <w:sz w:val="23"/>
          <w:szCs w:val="23"/>
          <w:lang w:val="ro-RO"/>
        </w:rPr>
      </w:pPr>
    </w:p>
    <w:p w14:paraId="2D2768DB" w14:textId="77777777" w:rsidR="002F5C09" w:rsidRPr="007C266E" w:rsidRDefault="002F5C09"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Prin promovarea instalării de stații de reîncărcare a autovehiculelor electrice în anumite tipuri de clădiri noi, directiva contribuie și la dezvoltarea electromobilității. Contractele de Performanță Energetică vor deveni un instrument mai eficient în promovarea eficienței energetice a clădirilor prin creșterea transparenței și a accesului la know-how. </w:t>
      </w:r>
    </w:p>
    <w:p w14:paraId="5BEE7365" w14:textId="77777777" w:rsidR="006E1D2D" w:rsidRPr="007C266E" w:rsidRDefault="006E1D2D" w:rsidP="000E7A5B">
      <w:pPr>
        <w:spacing w:after="0" w:line="240" w:lineRule="auto"/>
        <w:jc w:val="both"/>
        <w:rPr>
          <w:rFonts w:ascii="Times New Roman" w:hAnsi="Times New Roman" w:cs="Times New Roman"/>
          <w:sz w:val="23"/>
          <w:szCs w:val="23"/>
          <w:lang w:val="ro-RO"/>
        </w:rPr>
      </w:pPr>
    </w:p>
    <w:p w14:paraId="65CDE1B9" w14:textId="77777777" w:rsidR="007F20EF" w:rsidRPr="007C266E" w:rsidRDefault="007F20EF"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În egală măsură, dezvoltarea sistemului energetic va asigura eficiența energetică, așa cum este definită în directivele UE și legislația națională.</w:t>
      </w:r>
    </w:p>
    <w:p w14:paraId="265975F6" w14:textId="77777777" w:rsidR="007F20EF" w:rsidRPr="007C266E" w:rsidRDefault="007F20EF" w:rsidP="009E5804">
      <w:pPr>
        <w:spacing w:after="0" w:line="240" w:lineRule="auto"/>
        <w:jc w:val="both"/>
        <w:rPr>
          <w:rFonts w:ascii="Times New Roman" w:hAnsi="Times New Roman" w:cs="Times New Roman"/>
          <w:sz w:val="23"/>
          <w:szCs w:val="23"/>
          <w:lang w:val="ro-RO"/>
        </w:rPr>
      </w:pPr>
    </w:p>
    <w:p w14:paraId="4ABCF543" w14:textId="77777777" w:rsidR="001B432C" w:rsidRDefault="001B432C" w:rsidP="00393588">
      <w:pPr>
        <w:pStyle w:val="Heading2"/>
        <w:spacing w:before="0" w:line="240" w:lineRule="auto"/>
        <w:rPr>
          <w:rFonts w:ascii="Times New Roman" w:hAnsi="Times New Roman" w:cs="Times New Roman"/>
          <w:sz w:val="23"/>
          <w:szCs w:val="23"/>
          <w:lang w:val="ro-RO"/>
        </w:rPr>
      </w:pPr>
      <w:bookmarkStart w:id="8" w:name="_Toc44400856"/>
    </w:p>
    <w:p w14:paraId="4E19D777" w14:textId="77777777" w:rsidR="001B432C" w:rsidRPr="001B432C" w:rsidRDefault="001B432C" w:rsidP="001B432C">
      <w:pPr>
        <w:rPr>
          <w:lang w:val="ro-RO"/>
        </w:rPr>
      </w:pPr>
    </w:p>
    <w:p w14:paraId="510F2C97" w14:textId="77777777" w:rsidR="007F20EF" w:rsidRPr="007C266E" w:rsidRDefault="007F20EF" w:rsidP="00393588">
      <w:pPr>
        <w:pStyle w:val="Heading2"/>
        <w:spacing w:before="0" w:line="240" w:lineRule="auto"/>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II.</w:t>
      </w:r>
      <w:r w:rsidR="00F204F8" w:rsidRPr="007C266E">
        <w:rPr>
          <w:rFonts w:ascii="Times New Roman" w:hAnsi="Times New Roman" w:cs="Times New Roman"/>
          <w:sz w:val="23"/>
          <w:szCs w:val="23"/>
          <w:lang w:val="ro-RO"/>
        </w:rPr>
        <w:t>3</w:t>
      </w:r>
      <w:r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ab/>
        <w:t>Asigurarea accesului la energie electrică</w:t>
      </w:r>
      <w:r w:rsidR="00B416FC"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 xml:space="preserve">termică </w:t>
      </w:r>
      <w:r w:rsidR="00761F17" w:rsidRPr="007C266E">
        <w:rPr>
          <w:rFonts w:ascii="Times New Roman" w:hAnsi="Times New Roman" w:cs="Times New Roman"/>
          <w:sz w:val="23"/>
          <w:szCs w:val="23"/>
          <w:lang w:val="ro-RO"/>
        </w:rPr>
        <w:t xml:space="preserve">și gaze naturale </w:t>
      </w:r>
      <w:r w:rsidRPr="007C266E">
        <w:rPr>
          <w:rFonts w:ascii="Times New Roman" w:hAnsi="Times New Roman" w:cs="Times New Roman"/>
          <w:sz w:val="23"/>
          <w:szCs w:val="23"/>
          <w:lang w:val="ro-RO"/>
        </w:rPr>
        <w:t>pentru toți consumatorii</w:t>
      </w:r>
      <w:bookmarkEnd w:id="8"/>
    </w:p>
    <w:p w14:paraId="4E2E8EF9" w14:textId="77777777" w:rsidR="006E1D2D" w:rsidRPr="007C266E" w:rsidRDefault="006E1D2D" w:rsidP="006E1D2D">
      <w:pPr>
        <w:spacing w:after="0" w:line="240" w:lineRule="auto"/>
        <w:jc w:val="both"/>
        <w:rPr>
          <w:rFonts w:ascii="Times New Roman" w:hAnsi="Times New Roman" w:cs="Times New Roman"/>
          <w:sz w:val="23"/>
          <w:szCs w:val="23"/>
          <w:lang w:val="ro-RO"/>
        </w:rPr>
      </w:pPr>
    </w:p>
    <w:p w14:paraId="6B2FB26F" w14:textId="77777777" w:rsidR="001B4DC1" w:rsidRPr="007C266E" w:rsidRDefault="00CE0816" w:rsidP="0038022C">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Cu un grad de racordare a consumatorilor casnici la rețeaua electrică de distribuție de peste 90%, energia electrică este cea mai larg răspândită formă de energie din România, însă, </w:t>
      </w:r>
      <w:r w:rsidR="003232B8" w:rsidRPr="007C266E">
        <w:rPr>
          <w:rFonts w:ascii="Times New Roman" w:hAnsi="Times New Roman" w:cs="Times New Roman"/>
          <w:sz w:val="23"/>
          <w:szCs w:val="23"/>
          <w:lang w:val="ro-RO"/>
        </w:rPr>
        <w:t xml:space="preserve">raportat la </w:t>
      </w:r>
      <w:r w:rsidRPr="007C266E">
        <w:rPr>
          <w:rFonts w:ascii="Times New Roman" w:hAnsi="Times New Roman" w:cs="Times New Roman"/>
          <w:sz w:val="23"/>
          <w:szCs w:val="23"/>
          <w:lang w:val="ro-RO"/>
        </w:rPr>
        <w:t>consumul de energie electrică pe locuitor</w:t>
      </w:r>
      <w:r w:rsidR="003232B8" w:rsidRPr="007C266E">
        <w:rPr>
          <w:rFonts w:ascii="Times New Roman" w:hAnsi="Times New Roman" w:cs="Times New Roman"/>
          <w:sz w:val="23"/>
          <w:szCs w:val="23"/>
          <w:lang w:val="ro-RO"/>
        </w:rPr>
        <w:t>, acest</w:t>
      </w:r>
      <w:r w:rsidR="00B416FC"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 xml:space="preserve"> </w:t>
      </w:r>
      <w:r w:rsidR="00D75F53" w:rsidRPr="007C266E">
        <w:rPr>
          <w:rFonts w:ascii="Times New Roman" w:hAnsi="Times New Roman" w:cs="Times New Roman"/>
          <w:sz w:val="23"/>
          <w:szCs w:val="23"/>
          <w:lang w:val="ro-RO"/>
        </w:rPr>
        <w:t xml:space="preserve">este net inferior mediei la nivelul </w:t>
      </w:r>
      <w:r w:rsidRPr="007C266E">
        <w:rPr>
          <w:rFonts w:ascii="Times New Roman" w:hAnsi="Times New Roman" w:cs="Times New Roman"/>
          <w:sz w:val="23"/>
          <w:szCs w:val="23"/>
          <w:lang w:val="ro-RO"/>
        </w:rPr>
        <w:t>Uniun</w:t>
      </w:r>
      <w:r w:rsidR="00D75F53" w:rsidRPr="007C266E">
        <w:rPr>
          <w:rFonts w:ascii="Times New Roman" w:hAnsi="Times New Roman" w:cs="Times New Roman"/>
          <w:sz w:val="23"/>
          <w:szCs w:val="23"/>
          <w:lang w:val="ro-RO"/>
        </w:rPr>
        <w:t>ii Eu</w:t>
      </w:r>
      <w:r w:rsidRPr="007C266E">
        <w:rPr>
          <w:rFonts w:ascii="Times New Roman" w:hAnsi="Times New Roman" w:cs="Times New Roman"/>
          <w:sz w:val="23"/>
          <w:szCs w:val="23"/>
          <w:lang w:val="ro-RO"/>
        </w:rPr>
        <w:t>rope</w:t>
      </w:r>
      <w:r w:rsidR="00D75F53" w:rsidRPr="007C266E">
        <w:rPr>
          <w:rFonts w:ascii="Times New Roman" w:hAnsi="Times New Roman" w:cs="Times New Roman"/>
          <w:sz w:val="23"/>
          <w:szCs w:val="23"/>
          <w:lang w:val="ro-RO"/>
        </w:rPr>
        <w:t>ne</w:t>
      </w:r>
      <w:r w:rsidRPr="007C266E">
        <w:rPr>
          <w:rFonts w:ascii="Times New Roman" w:hAnsi="Times New Roman" w:cs="Times New Roman"/>
          <w:sz w:val="23"/>
          <w:szCs w:val="23"/>
          <w:lang w:val="ro-RO"/>
        </w:rPr>
        <w:t xml:space="preserve"> – de 2,</w:t>
      </w:r>
      <w:r w:rsidR="001B4DC1" w:rsidRPr="007C266E">
        <w:rPr>
          <w:rFonts w:ascii="Times New Roman" w:hAnsi="Times New Roman" w:cs="Times New Roman"/>
          <w:sz w:val="23"/>
          <w:szCs w:val="23"/>
          <w:lang w:val="ro-RO"/>
        </w:rPr>
        <w:t>4</w:t>
      </w:r>
      <w:r w:rsidRPr="007C266E">
        <w:rPr>
          <w:rFonts w:ascii="Times New Roman" w:hAnsi="Times New Roman" w:cs="Times New Roman"/>
          <w:sz w:val="23"/>
          <w:szCs w:val="23"/>
          <w:lang w:val="ro-RO"/>
        </w:rPr>
        <w:t xml:space="preserve"> ori mai mic decât media UE.</w:t>
      </w:r>
      <w:r w:rsidR="00D75F53" w:rsidRPr="007C266E">
        <w:rPr>
          <w:rFonts w:ascii="Times New Roman" w:hAnsi="Times New Roman" w:cs="Times New Roman"/>
          <w:sz w:val="23"/>
          <w:szCs w:val="23"/>
          <w:lang w:val="ro-RO"/>
        </w:rPr>
        <w:t xml:space="preserve"> </w:t>
      </w:r>
    </w:p>
    <w:p w14:paraId="1FDD2D35" w14:textId="77777777" w:rsidR="006E1D2D" w:rsidRPr="007C266E" w:rsidRDefault="006E1D2D" w:rsidP="00A86877">
      <w:pPr>
        <w:spacing w:after="0" w:line="240" w:lineRule="auto"/>
        <w:jc w:val="both"/>
        <w:rPr>
          <w:rFonts w:ascii="Times New Roman" w:hAnsi="Times New Roman" w:cs="Times New Roman"/>
          <w:sz w:val="23"/>
          <w:szCs w:val="23"/>
          <w:lang w:val="ro-RO"/>
        </w:rPr>
      </w:pPr>
    </w:p>
    <w:p w14:paraId="031C1EDA" w14:textId="77777777" w:rsidR="001B4DC1" w:rsidRPr="007C266E" w:rsidRDefault="005F4813"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ceea ce privește accesul la gaze naturale, m</w:t>
      </w:r>
      <w:r w:rsidR="001B4DC1" w:rsidRPr="007C266E">
        <w:rPr>
          <w:rFonts w:ascii="Times New Roman" w:hAnsi="Times New Roman" w:cs="Times New Roman"/>
          <w:sz w:val="23"/>
          <w:szCs w:val="23"/>
          <w:lang w:val="ro-RO"/>
        </w:rPr>
        <w:t>ai puțin de jumătate din gospodăriile din România sunt racordate la rețeaua de gaze naturale (aproximativ 44%), o treime din locuințele României fiind încălzite direct cu gaz natural. De asem</w:t>
      </w:r>
      <w:r w:rsidR="0046410B" w:rsidRPr="007C266E">
        <w:rPr>
          <w:rFonts w:ascii="Times New Roman" w:hAnsi="Times New Roman" w:cs="Times New Roman"/>
          <w:sz w:val="23"/>
          <w:szCs w:val="23"/>
          <w:lang w:val="ro-RO"/>
        </w:rPr>
        <w:t>e</w:t>
      </w:r>
      <w:r w:rsidR="001B4DC1" w:rsidRPr="007C266E">
        <w:rPr>
          <w:rFonts w:ascii="Times New Roman" w:hAnsi="Times New Roman" w:cs="Times New Roman"/>
          <w:sz w:val="23"/>
          <w:szCs w:val="23"/>
          <w:lang w:val="ro-RO"/>
        </w:rPr>
        <w:t>nea, consumul mediu de gaze naturale al unui consumator casnic este inferior mediei UE.</w:t>
      </w:r>
    </w:p>
    <w:p w14:paraId="68D84771" w14:textId="77777777" w:rsidR="006E1D2D" w:rsidRPr="007C266E" w:rsidRDefault="006E1D2D" w:rsidP="002F5C09">
      <w:pPr>
        <w:spacing w:after="0" w:line="240" w:lineRule="auto"/>
        <w:jc w:val="both"/>
        <w:rPr>
          <w:rFonts w:ascii="Times New Roman" w:hAnsi="Times New Roman" w:cs="Times New Roman"/>
          <w:sz w:val="23"/>
          <w:szCs w:val="23"/>
          <w:lang w:val="ro-RO"/>
        </w:rPr>
      </w:pPr>
    </w:p>
    <w:p w14:paraId="4C39A760" w14:textId="77777777" w:rsidR="007F20EF" w:rsidRPr="007C266E" w:rsidRDefault="007F20EF"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Obiectivul urmărește continuarea programului de electrificare, </w:t>
      </w:r>
      <w:r w:rsidR="00CE0816" w:rsidRPr="007C266E">
        <w:rPr>
          <w:rFonts w:ascii="Times New Roman" w:hAnsi="Times New Roman" w:cs="Times New Roman"/>
          <w:sz w:val="23"/>
          <w:szCs w:val="23"/>
          <w:lang w:val="ro-RO"/>
        </w:rPr>
        <w:t xml:space="preserve">asigurarea </w:t>
      </w:r>
      <w:r w:rsidR="00761F17" w:rsidRPr="007C266E">
        <w:rPr>
          <w:rFonts w:ascii="Times New Roman" w:hAnsi="Times New Roman" w:cs="Times New Roman"/>
          <w:sz w:val="23"/>
          <w:szCs w:val="23"/>
          <w:lang w:val="ro-RO"/>
        </w:rPr>
        <w:t>acces</w:t>
      </w:r>
      <w:r w:rsidR="00CE0816" w:rsidRPr="007C266E">
        <w:rPr>
          <w:rFonts w:ascii="Times New Roman" w:hAnsi="Times New Roman" w:cs="Times New Roman"/>
          <w:sz w:val="23"/>
          <w:szCs w:val="23"/>
          <w:lang w:val="ro-RO"/>
        </w:rPr>
        <w:t>ului</w:t>
      </w:r>
      <w:r w:rsidR="00761F17" w:rsidRPr="007C266E">
        <w:rPr>
          <w:rFonts w:ascii="Times New Roman" w:hAnsi="Times New Roman" w:cs="Times New Roman"/>
          <w:sz w:val="23"/>
          <w:szCs w:val="23"/>
          <w:lang w:val="ro-RO"/>
        </w:rPr>
        <w:t xml:space="preserve"> la </w:t>
      </w:r>
      <w:r w:rsidR="001B4DC1" w:rsidRPr="007C266E">
        <w:rPr>
          <w:rFonts w:ascii="Times New Roman" w:hAnsi="Times New Roman" w:cs="Times New Roman"/>
          <w:sz w:val="23"/>
          <w:szCs w:val="23"/>
          <w:lang w:val="ro-RO"/>
        </w:rPr>
        <w:t xml:space="preserve">infrastructura de </w:t>
      </w:r>
      <w:r w:rsidR="00761F17" w:rsidRPr="007C266E">
        <w:rPr>
          <w:rFonts w:ascii="Times New Roman" w:hAnsi="Times New Roman" w:cs="Times New Roman"/>
          <w:sz w:val="23"/>
          <w:szCs w:val="23"/>
          <w:lang w:val="ro-RO"/>
        </w:rPr>
        <w:t xml:space="preserve">gaze naturale </w:t>
      </w:r>
      <w:r w:rsidRPr="007C266E">
        <w:rPr>
          <w:rFonts w:ascii="Times New Roman" w:hAnsi="Times New Roman" w:cs="Times New Roman"/>
          <w:sz w:val="23"/>
          <w:szCs w:val="23"/>
          <w:lang w:val="ro-RO"/>
        </w:rPr>
        <w:t xml:space="preserve">precum și dezvoltarea și rentabilizarea sistemelor de asigurare a încălzirii. </w:t>
      </w:r>
    </w:p>
    <w:p w14:paraId="5AD6D8E0" w14:textId="77777777" w:rsidR="006E1D2D" w:rsidRPr="007C266E" w:rsidRDefault="006E1D2D" w:rsidP="009E5804">
      <w:pPr>
        <w:spacing w:after="0" w:line="240" w:lineRule="auto"/>
        <w:jc w:val="both"/>
        <w:rPr>
          <w:rFonts w:ascii="Times New Roman" w:hAnsi="Times New Roman" w:cs="Times New Roman"/>
          <w:sz w:val="23"/>
          <w:szCs w:val="23"/>
          <w:lang w:val="ro-RO"/>
        </w:rPr>
      </w:pPr>
    </w:p>
    <w:p w14:paraId="7F4B02C1" w14:textId="2F87739F" w:rsidR="005F4813" w:rsidRDefault="005F4813"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Totodată, având în vedere puterea de cumpărare mică a gospodăriilor din România, comparativ cu Uniunea Europeană, asigurarea suportabilității prețului energiei la consumatorul final, în România, este o preocupare de prim ordin, care subliniază necesitatea protejării consumatorilor vulnerabili. </w:t>
      </w:r>
      <w:r w:rsidR="00482904" w:rsidRPr="007C266E">
        <w:rPr>
          <w:rFonts w:ascii="Times New Roman" w:hAnsi="Times New Roman" w:cs="Times New Roman"/>
          <w:sz w:val="23"/>
          <w:szCs w:val="23"/>
          <w:lang w:val="ro-RO"/>
        </w:rPr>
        <w:t>Conform EUROSTAT</w:t>
      </w:r>
      <w:r w:rsidR="0086064F" w:rsidRPr="007C266E">
        <w:rPr>
          <w:rFonts w:ascii="Times New Roman" w:hAnsi="Times New Roman" w:cs="Times New Roman"/>
          <w:sz w:val="23"/>
          <w:szCs w:val="23"/>
          <w:lang w:val="ro-RO"/>
        </w:rPr>
        <w:t>, studiu</w:t>
      </w:r>
      <w:r w:rsidR="00084000" w:rsidRPr="007C266E">
        <w:rPr>
          <w:rFonts w:ascii="Times New Roman" w:hAnsi="Times New Roman" w:cs="Times New Roman"/>
          <w:sz w:val="23"/>
          <w:szCs w:val="23"/>
          <w:lang w:val="ro-RO"/>
        </w:rPr>
        <w:t>l</w:t>
      </w:r>
      <w:r w:rsidR="0086064F" w:rsidRPr="007C266E">
        <w:rPr>
          <w:rFonts w:ascii="Times New Roman" w:hAnsi="Times New Roman" w:cs="Times New Roman"/>
          <w:sz w:val="23"/>
          <w:szCs w:val="23"/>
          <w:lang w:val="ro-RO"/>
        </w:rPr>
        <w:t xml:space="preserve"> anual privind veniturile si condițiile de viață pentru cetățenii europeni, </w:t>
      </w:r>
      <w:r w:rsidRPr="007C266E">
        <w:rPr>
          <w:rFonts w:ascii="Times New Roman" w:hAnsi="Times New Roman" w:cs="Times New Roman"/>
          <w:sz w:val="23"/>
          <w:szCs w:val="23"/>
          <w:lang w:val="ro-RO"/>
        </w:rPr>
        <w:t>numărul gospodăriilor care au dificultăți în a plăti factur</w:t>
      </w:r>
      <w:r w:rsidR="0086064F" w:rsidRPr="007C266E">
        <w:rPr>
          <w:rFonts w:ascii="Times New Roman" w:hAnsi="Times New Roman" w:cs="Times New Roman"/>
          <w:sz w:val="23"/>
          <w:szCs w:val="23"/>
          <w:lang w:val="ro-RO"/>
        </w:rPr>
        <w:t xml:space="preserve">ile la utilități în termen de un an, a fost </w:t>
      </w:r>
      <w:r w:rsidR="00084000" w:rsidRPr="007C266E">
        <w:rPr>
          <w:rFonts w:ascii="Times New Roman" w:hAnsi="Times New Roman" w:cs="Times New Roman"/>
          <w:sz w:val="23"/>
          <w:szCs w:val="23"/>
          <w:lang w:val="ro-RO"/>
        </w:rPr>
        <w:t xml:space="preserve">în România </w:t>
      </w:r>
      <w:r w:rsidRPr="007C266E">
        <w:rPr>
          <w:rFonts w:ascii="Times New Roman" w:hAnsi="Times New Roman" w:cs="Times New Roman"/>
          <w:sz w:val="23"/>
          <w:szCs w:val="23"/>
          <w:lang w:val="ro-RO"/>
        </w:rPr>
        <w:t>de  1</w:t>
      </w:r>
      <w:r w:rsidR="0086064F" w:rsidRPr="007C266E">
        <w:rPr>
          <w:rFonts w:ascii="Times New Roman" w:hAnsi="Times New Roman" w:cs="Times New Roman"/>
          <w:sz w:val="23"/>
          <w:szCs w:val="23"/>
          <w:lang w:val="ro-RO"/>
        </w:rPr>
        <w:t>4.4</w:t>
      </w:r>
      <w:r w:rsidRPr="007C266E">
        <w:rPr>
          <w:rFonts w:ascii="Times New Roman" w:hAnsi="Times New Roman" w:cs="Times New Roman"/>
          <w:sz w:val="23"/>
          <w:szCs w:val="23"/>
          <w:lang w:val="ro-RO"/>
        </w:rPr>
        <w:t>%</w:t>
      </w:r>
      <w:r w:rsidR="0086064F" w:rsidRPr="007C266E">
        <w:rPr>
          <w:rFonts w:ascii="Times New Roman" w:hAnsi="Times New Roman" w:cs="Times New Roman"/>
          <w:sz w:val="23"/>
          <w:szCs w:val="23"/>
          <w:lang w:val="ro-RO"/>
        </w:rPr>
        <w:t>, în 2018</w:t>
      </w:r>
      <w:r w:rsidR="00084000" w:rsidRPr="007C266E">
        <w:rPr>
          <w:rFonts w:ascii="Times New Roman" w:hAnsi="Times New Roman" w:cs="Times New Roman"/>
          <w:sz w:val="23"/>
          <w:szCs w:val="23"/>
          <w:lang w:val="ro-RO"/>
        </w:rPr>
        <w:t>, România situându-se pe locul 4, după Grecia, Bulgaria și Croația, în timp ce la polul opus se află state membre precum, Olanda, Cehia, Suedia și Austria, cu un procent de 2%.</w:t>
      </w:r>
      <w:r w:rsidRPr="007C266E">
        <w:rPr>
          <w:rFonts w:ascii="Times New Roman" w:hAnsi="Times New Roman" w:cs="Times New Roman"/>
          <w:sz w:val="23"/>
          <w:szCs w:val="23"/>
          <w:lang w:val="ro-RO"/>
        </w:rPr>
        <w:t xml:space="preserve"> </w:t>
      </w:r>
    </w:p>
    <w:p w14:paraId="506BDF0C" w14:textId="77777777" w:rsidR="001B432C" w:rsidRDefault="001B432C" w:rsidP="009E5804">
      <w:pPr>
        <w:spacing w:after="0" w:line="240" w:lineRule="auto"/>
        <w:jc w:val="both"/>
        <w:rPr>
          <w:rFonts w:ascii="Times New Roman" w:hAnsi="Times New Roman" w:cs="Times New Roman"/>
          <w:sz w:val="23"/>
          <w:szCs w:val="23"/>
          <w:lang w:val="ro-RO"/>
        </w:rPr>
      </w:pPr>
    </w:p>
    <w:p w14:paraId="5558C200" w14:textId="77777777" w:rsidR="001B432C" w:rsidRPr="007C266E" w:rsidRDefault="001B432C" w:rsidP="009E5804">
      <w:pPr>
        <w:spacing w:after="0" w:line="240" w:lineRule="auto"/>
        <w:jc w:val="both"/>
        <w:rPr>
          <w:rFonts w:ascii="Times New Roman" w:hAnsi="Times New Roman" w:cs="Times New Roman"/>
          <w:sz w:val="23"/>
          <w:szCs w:val="23"/>
          <w:lang w:val="ro-RO"/>
        </w:rPr>
      </w:pPr>
    </w:p>
    <w:p w14:paraId="7BB5B034" w14:textId="77777777" w:rsidR="00922707" w:rsidRPr="007C266E" w:rsidRDefault="00922707" w:rsidP="009E5804">
      <w:pPr>
        <w:spacing w:after="0" w:line="240" w:lineRule="auto"/>
        <w:jc w:val="both"/>
        <w:rPr>
          <w:rFonts w:ascii="Times New Roman" w:hAnsi="Times New Roman" w:cs="Times New Roman"/>
          <w:sz w:val="23"/>
          <w:szCs w:val="23"/>
          <w:lang w:val="ro-RO"/>
        </w:rPr>
      </w:pPr>
    </w:p>
    <w:p w14:paraId="0435B21B" w14:textId="77777777" w:rsidR="007F20EF" w:rsidRPr="007C266E" w:rsidRDefault="007F20EF"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lastRenderedPageBreak/>
        <w:t xml:space="preserve">Acest obiectiv stabilește ca prioritate finalizarea electrificării României şi a menţinerii sistemelor de distribuţie a energiei electrice în strânsă corelaţie cu dezvoltarea socio-economică. </w:t>
      </w:r>
      <w:r w:rsidR="00CE0816" w:rsidRPr="007C266E">
        <w:rPr>
          <w:rFonts w:ascii="Times New Roman" w:hAnsi="Times New Roman" w:cs="Times New Roman"/>
          <w:b/>
          <w:sz w:val="23"/>
          <w:szCs w:val="23"/>
          <w:lang w:val="ro-RO"/>
        </w:rPr>
        <w:t>De asemenea, obiectivul privește asigurarea accesului la sursele de gaze naturale prin creșterea g</w:t>
      </w:r>
      <w:r w:rsidR="0044602B" w:rsidRPr="007C266E">
        <w:rPr>
          <w:rFonts w:ascii="Times New Roman" w:hAnsi="Times New Roman" w:cs="Times New Roman"/>
          <w:b/>
          <w:sz w:val="23"/>
          <w:szCs w:val="23"/>
          <w:lang w:val="ro-RO"/>
        </w:rPr>
        <w:t>r</w:t>
      </w:r>
      <w:r w:rsidR="0046410B" w:rsidRPr="007C266E">
        <w:rPr>
          <w:rFonts w:ascii="Times New Roman" w:hAnsi="Times New Roman" w:cs="Times New Roman"/>
          <w:b/>
          <w:sz w:val="23"/>
          <w:szCs w:val="23"/>
          <w:lang w:val="ro-RO"/>
        </w:rPr>
        <w:t>a</w:t>
      </w:r>
      <w:r w:rsidR="00CE0816" w:rsidRPr="007C266E">
        <w:rPr>
          <w:rFonts w:ascii="Times New Roman" w:hAnsi="Times New Roman" w:cs="Times New Roman"/>
          <w:b/>
          <w:sz w:val="23"/>
          <w:szCs w:val="23"/>
          <w:lang w:val="ro-RO"/>
        </w:rPr>
        <w:t>dului de racordare a consumatorilor casnici la re</w:t>
      </w:r>
      <w:r w:rsidR="0046410B" w:rsidRPr="007C266E">
        <w:rPr>
          <w:rFonts w:ascii="Times New Roman" w:hAnsi="Times New Roman" w:cs="Times New Roman"/>
          <w:b/>
          <w:sz w:val="23"/>
          <w:szCs w:val="23"/>
          <w:lang w:val="ro-RO"/>
        </w:rPr>
        <w:t>ț</w:t>
      </w:r>
      <w:r w:rsidR="00CE0816" w:rsidRPr="007C266E">
        <w:rPr>
          <w:rFonts w:ascii="Times New Roman" w:hAnsi="Times New Roman" w:cs="Times New Roman"/>
          <w:b/>
          <w:sz w:val="23"/>
          <w:szCs w:val="23"/>
          <w:lang w:val="ro-RO"/>
        </w:rPr>
        <w:t>teaua de distribuție a gazelor naturale.</w:t>
      </w:r>
    </w:p>
    <w:p w14:paraId="1AFE68FD" w14:textId="77777777" w:rsidR="007F20EF" w:rsidRPr="007C266E" w:rsidRDefault="007F20EF" w:rsidP="009E5804">
      <w:pPr>
        <w:spacing w:after="0" w:line="240" w:lineRule="auto"/>
        <w:jc w:val="both"/>
        <w:rPr>
          <w:rFonts w:ascii="Times New Roman" w:hAnsi="Times New Roman" w:cs="Times New Roman"/>
          <w:b/>
          <w:sz w:val="23"/>
          <w:szCs w:val="23"/>
          <w:lang w:val="ro-RO"/>
        </w:rPr>
      </w:pPr>
    </w:p>
    <w:p w14:paraId="2D0E67B6" w14:textId="77777777" w:rsidR="00F03315" w:rsidRPr="007C266E" w:rsidRDefault="007F20EF"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De asemenea, obiectivul privește necesitatea stabilirii principiilor care vor sta la baza modului în care se va asigura încălzirea în mediul urban, dar şi implementarea unor politici care să stabilească alternative pentru mediul rural. </w:t>
      </w:r>
    </w:p>
    <w:p w14:paraId="1CAD74A1" w14:textId="77777777" w:rsidR="000D3D06" w:rsidRPr="007C266E" w:rsidRDefault="000D3D06" w:rsidP="009E5804">
      <w:pPr>
        <w:spacing w:after="0" w:line="240" w:lineRule="auto"/>
        <w:jc w:val="both"/>
        <w:rPr>
          <w:rFonts w:ascii="Times New Roman" w:hAnsi="Times New Roman" w:cs="Times New Roman"/>
          <w:sz w:val="23"/>
          <w:szCs w:val="23"/>
          <w:lang w:val="ro-RO"/>
        </w:rPr>
      </w:pPr>
    </w:p>
    <w:p w14:paraId="7DC84BA8" w14:textId="77777777" w:rsidR="007C08F5" w:rsidRPr="007C266E" w:rsidRDefault="007C08F5" w:rsidP="007C08F5">
      <w:pPr>
        <w:autoSpaceDE w:val="0"/>
        <w:autoSpaceDN w:val="0"/>
        <w:adjustRightInd w:val="0"/>
        <w:spacing w:after="0" w:line="240" w:lineRule="auto"/>
        <w:jc w:val="both"/>
        <w:rPr>
          <w:rFonts w:ascii="Times New Roman" w:hAnsi="Times New Roman" w:cs="Times New Roman"/>
          <w:i/>
          <w:iCs/>
          <w:sz w:val="23"/>
          <w:szCs w:val="23"/>
          <w:lang w:val="ro-RO"/>
        </w:rPr>
      </w:pPr>
      <w:r w:rsidRPr="007C266E">
        <w:rPr>
          <w:rFonts w:ascii="Times New Roman" w:hAnsi="Times New Roman" w:cs="Times New Roman"/>
          <w:sz w:val="23"/>
          <w:szCs w:val="23"/>
          <w:lang w:val="ro-RO"/>
        </w:rPr>
        <w:t>Un rol important în asigurarea încălzirii clădirilor de locuit, a asigurării apei calde menajere dar și a preparării hranei, precum și îmbunătățirea calității serviciului public de alimentare cu energie termică, cu impact deosebit asupra reducerii emisiilor de noxe în atmosferă ca urmare a utilizării combustibilului solid, îl are ”</w:t>
      </w:r>
      <w:r w:rsidRPr="007C266E">
        <w:rPr>
          <w:rFonts w:ascii="Times New Roman" w:hAnsi="Times New Roman" w:cs="Times New Roman"/>
          <w:i/>
          <w:iCs/>
          <w:sz w:val="23"/>
          <w:szCs w:val="23"/>
          <w:lang w:val="ro-RO"/>
        </w:rPr>
        <w:t xml:space="preserve">Programul Național de racordare a populației și consumatorilor non-casnici la rețeaua inteligentă de distribuție a gazelor naturale”, care se va </w:t>
      </w:r>
      <w:r w:rsidRPr="007C266E">
        <w:rPr>
          <w:rFonts w:ascii="Times New Roman" w:hAnsi="Times New Roman" w:cs="Times New Roman"/>
          <w:sz w:val="23"/>
          <w:szCs w:val="23"/>
          <w:lang w:val="ro-RO"/>
        </w:rPr>
        <w:t>realiza prin Programului Operațional Infrastructură Mare, acțiunea ”Dezvoltarea rețelelor inteligente de distribuție a gazelor naturale în vederea creșterii nivelului de flexibilitate, siguranță, eficiență în operare, precum și de integrare a activităților de transport, distribuție și consum final”.</w:t>
      </w:r>
    </w:p>
    <w:p w14:paraId="2739FDF6" w14:textId="77777777" w:rsidR="007F20EF" w:rsidRDefault="00F03315"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O atenție deosebită va fi acordată zonelor monoindustriale bazate pe cărbune, care vor fi supuse Planurilor Teritoriale de Tranziție, în care asigurarea accesului la energie electrică și termică va </w:t>
      </w:r>
      <w:r w:rsidR="00933328" w:rsidRPr="007C266E">
        <w:rPr>
          <w:rFonts w:ascii="Times New Roman" w:hAnsi="Times New Roman" w:cs="Times New Roman"/>
          <w:sz w:val="23"/>
          <w:szCs w:val="23"/>
          <w:lang w:val="ro-RO"/>
        </w:rPr>
        <w:t>constitui un punct focal al planurilor.</w:t>
      </w:r>
    </w:p>
    <w:p w14:paraId="49175064" w14:textId="77777777" w:rsidR="001B432C" w:rsidRDefault="001B432C" w:rsidP="009E5804">
      <w:pPr>
        <w:spacing w:after="0" w:line="240" w:lineRule="auto"/>
        <w:jc w:val="both"/>
        <w:rPr>
          <w:rFonts w:ascii="Times New Roman" w:hAnsi="Times New Roman" w:cs="Times New Roman"/>
          <w:sz w:val="23"/>
          <w:szCs w:val="23"/>
          <w:lang w:val="ro-RO"/>
        </w:rPr>
      </w:pPr>
    </w:p>
    <w:p w14:paraId="1E73F6BB" w14:textId="77777777" w:rsidR="001B432C" w:rsidRDefault="001B432C" w:rsidP="009E5804">
      <w:pPr>
        <w:spacing w:after="0" w:line="240" w:lineRule="auto"/>
        <w:jc w:val="both"/>
        <w:rPr>
          <w:rFonts w:ascii="Times New Roman" w:hAnsi="Times New Roman" w:cs="Times New Roman"/>
          <w:sz w:val="23"/>
          <w:szCs w:val="23"/>
          <w:lang w:val="ro-RO"/>
        </w:rPr>
      </w:pPr>
    </w:p>
    <w:p w14:paraId="61CD14B6" w14:textId="77777777" w:rsidR="001B432C" w:rsidRPr="007C266E" w:rsidRDefault="001B432C" w:rsidP="009E5804">
      <w:pPr>
        <w:spacing w:after="0" w:line="240" w:lineRule="auto"/>
        <w:jc w:val="both"/>
        <w:rPr>
          <w:rFonts w:ascii="Times New Roman" w:hAnsi="Times New Roman" w:cs="Times New Roman"/>
          <w:sz w:val="23"/>
          <w:szCs w:val="23"/>
          <w:lang w:val="ro-RO"/>
        </w:rPr>
      </w:pPr>
    </w:p>
    <w:p w14:paraId="7FDB462B" w14:textId="77777777" w:rsidR="002500F7" w:rsidRPr="007C266E" w:rsidRDefault="002500F7" w:rsidP="002406CA">
      <w:pPr>
        <w:pStyle w:val="Heading2"/>
        <w:spacing w:before="0" w:line="240" w:lineRule="auto"/>
        <w:rPr>
          <w:rFonts w:ascii="Times New Roman" w:hAnsi="Times New Roman" w:cs="Times New Roman"/>
          <w:sz w:val="23"/>
          <w:szCs w:val="23"/>
          <w:lang w:val="ro-RO"/>
        </w:rPr>
      </w:pPr>
      <w:bookmarkStart w:id="9" w:name="_Toc44400857"/>
    </w:p>
    <w:p w14:paraId="20CDFC25" w14:textId="77777777" w:rsidR="007F20EF" w:rsidRPr="007C266E" w:rsidRDefault="007F20EF" w:rsidP="002406CA">
      <w:pPr>
        <w:pStyle w:val="Heading2"/>
        <w:spacing w:before="0" w:line="240" w:lineRule="auto"/>
        <w:rPr>
          <w:rFonts w:ascii="Times New Roman" w:hAnsi="Times New Roman" w:cs="Times New Roman"/>
          <w:sz w:val="23"/>
          <w:szCs w:val="23"/>
          <w:lang w:val="ro-RO"/>
        </w:rPr>
      </w:pPr>
      <w:r w:rsidRPr="007C266E">
        <w:rPr>
          <w:rFonts w:ascii="Times New Roman" w:hAnsi="Times New Roman" w:cs="Times New Roman"/>
          <w:sz w:val="23"/>
          <w:szCs w:val="23"/>
          <w:lang w:val="ro-RO"/>
        </w:rPr>
        <w:t>II.</w:t>
      </w:r>
      <w:r w:rsidR="00F204F8" w:rsidRPr="007C266E">
        <w:rPr>
          <w:rFonts w:ascii="Times New Roman" w:hAnsi="Times New Roman" w:cs="Times New Roman"/>
          <w:sz w:val="23"/>
          <w:szCs w:val="23"/>
          <w:lang w:val="ro-RO"/>
        </w:rPr>
        <w:t>4</w:t>
      </w:r>
      <w:r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ab/>
        <w:t>Protecția consumatorului vulnerabil și reducerea sărăciei energetice</w:t>
      </w:r>
      <w:bookmarkEnd w:id="9"/>
    </w:p>
    <w:p w14:paraId="194EE36C" w14:textId="77777777" w:rsidR="007F20EF" w:rsidRPr="007C266E" w:rsidRDefault="007F20EF" w:rsidP="006E1D2D">
      <w:pPr>
        <w:spacing w:after="0" w:line="240" w:lineRule="auto"/>
        <w:jc w:val="both"/>
        <w:rPr>
          <w:rFonts w:ascii="Times New Roman" w:hAnsi="Times New Roman" w:cs="Times New Roman"/>
          <w:sz w:val="23"/>
          <w:szCs w:val="23"/>
          <w:lang w:val="ro-RO"/>
        </w:rPr>
      </w:pPr>
    </w:p>
    <w:p w14:paraId="5D6A3C7F" w14:textId="77777777" w:rsidR="002F0C2E" w:rsidRPr="007C266E" w:rsidRDefault="002F0C2E"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centrul politicilor de dezvoltare a sectorului energetic trebuie să fie consumatorul, în special prin masuri de protejare a consumatorului vulnerabil, de extindere a accesului la energie al populației și de implementare a unor politici de mediu corespunzătoare. O politi</w:t>
      </w:r>
      <w:r w:rsidR="00922707" w:rsidRPr="007C266E">
        <w:rPr>
          <w:rFonts w:ascii="Times New Roman" w:hAnsi="Times New Roman" w:cs="Times New Roman"/>
          <w:sz w:val="23"/>
          <w:szCs w:val="23"/>
          <w:lang w:val="ro-RO"/>
        </w:rPr>
        <w:t>că energetică axată pe eficiență</w:t>
      </w:r>
      <w:r w:rsidRPr="007C266E">
        <w:rPr>
          <w:rFonts w:ascii="Times New Roman" w:hAnsi="Times New Roman" w:cs="Times New Roman"/>
          <w:sz w:val="23"/>
          <w:szCs w:val="23"/>
          <w:lang w:val="ro-RO"/>
        </w:rPr>
        <w:t xml:space="preserve"> energetică trebuie să aibă ca prioritate absolută protejarea consumatorilor vulnerabili. Toți cetățenii trebuie să aibă acces și să poată beneficia de energie în special cei dezavantajați sau care fac parte din comunități dezavantajate. </w:t>
      </w:r>
    </w:p>
    <w:p w14:paraId="4F9FB638" w14:textId="77777777" w:rsidR="006E1D2D" w:rsidRPr="007C266E" w:rsidRDefault="006E1D2D" w:rsidP="00393588">
      <w:pPr>
        <w:spacing w:after="0" w:line="240" w:lineRule="auto"/>
        <w:jc w:val="both"/>
        <w:rPr>
          <w:rFonts w:ascii="Times New Roman" w:hAnsi="Times New Roman" w:cs="Times New Roman"/>
          <w:sz w:val="23"/>
          <w:szCs w:val="23"/>
          <w:lang w:val="ro-RO"/>
        </w:rPr>
      </w:pPr>
    </w:p>
    <w:p w14:paraId="3D1E5344" w14:textId="77777777" w:rsidR="002F0C2E" w:rsidRDefault="002F0C2E"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Măsurile dedicate protecției consumatorilor vulnerabili vor include îmbunătățirea performanței sistemului de asistență socială în protejarea celor cu venituri reduse, măsuri de eficiență energetică dedicate consumatorilor vulnerabili cu scopul reducerii consumului final (ex. programe publice de izolare termică a imobilelor), modificarea și utillizarea Sistemului Național Informatic de As</w:t>
      </w:r>
      <w:r w:rsidR="00922707" w:rsidRPr="007C266E">
        <w:rPr>
          <w:rFonts w:ascii="Times New Roman" w:hAnsi="Times New Roman" w:cs="Times New Roman"/>
          <w:sz w:val="23"/>
          <w:szCs w:val="23"/>
          <w:lang w:val="ro-RO"/>
        </w:rPr>
        <w:t>istență Socială</w:t>
      </w:r>
      <w:r w:rsidRPr="007C266E">
        <w:rPr>
          <w:rFonts w:ascii="Times New Roman" w:hAnsi="Times New Roman" w:cs="Times New Roman"/>
          <w:sz w:val="23"/>
          <w:szCs w:val="23"/>
          <w:lang w:val="ro-RO"/>
        </w:rPr>
        <w:t xml:space="preserve"> pentru a asigura acordarea echitabilă și pe criterii transparente a subvențiilor existente pentru încălzirea locuinței sau accesul la energie. De asemenea, acestea vor fi corelate cu măsurile privind tranziția echitabilă și reconversia regiunilor cu profil mono-industrial și alte inițiative cu impact asupra consumatorilor vulnerabili</w:t>
      </w:r>
      <w:r w:rsidR="00393588"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iar măsurile adoptate vor viza implementarea unor mecanisme de sprijin acordat consumatorilor vulnerabili în mod direct, fără a distorsiona competitivitatea pieței de energie.</w:t>
      </w:r>
    </w:p>
    <w:p w14:paraId="173F011C" w14:textId="77777777" w:rsidR="001B432C" w:rsidRPr="007C266E" w:rsidRDefault="001B432C" w:rsidP="00393588">
      <w:pPr>
        <w:spacing w:after="0" w:line="240" w:lineRule="auto"/>
        <w:jc w:val="both"/>
        <w:rPr>
          <w:rFonts w:ascii="Times New Roman" w:hAnsi="Times New Roman" w:cs="Times New Roman"/>
          <w:sz w:val="23"/>
          <w:szCs w:val="23"/>
          <w:lang w:val="ro-RO"/>
        </w:rPr>
      </w:pPr>
    </w:p>
    <w:p w14:paraId="0C948F41" w14:textId="77777777" w:rsidR="001B432C" w:rsidRPr="007C266E" w:rsidRDefault="001B432C" w:rsidP="001B432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Accesibilitatea prețului este una dintre principalele provocări ale sistemului energetic și este o responsabilitate strategică. </w:t>
      </w:r>
    </w:p>
    <w:p w14:paraId="4F6D3823" w14:textId="77777777" w:rsidR="002406CA" w:rsidRPr="007C266E" w:rsidRDefault="002406CA" w:rsidP="00393588">
      <w:pPr>
        <w:spacing w:after="0" w:line="240" w:lineRule="auto"/>
        <w:jc w:val="both"/>
        <w:rPr>
          <w:rFonts w:ascii="Times New Roman" w:hAnsi="Times New Roman" w:cs="Times New Roman"/>
          <w:sz w:val="23"/>
          <w:szCs w:val="23"/>
          <w:lang w:val="ro-RO"/>
        </w:rPr>
      </w:pPr>
    </w:p>
    <w:p w14:paraId="2C0F67CA" w14:textId="77777777" w:rsidR="007F20EF" w:rsidRPr="007C266E" w:rsidRDefault="007F20EF" w:rsidP="002406CA">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Politicile de dezvoltare și adaptarea corectă a nivelului asistenței sociale în domeniul energiei, mai ales în zonele sărace, vor asigura o protecție reală a consumatorilor vulnerabili. </w:t>
      </w:r>
      <w:r w:rsidR="004C0A28" w:rsidRPr="007C266E">
        <w:rPr>
          <w:rFonts w:ascii="Times New Roman" w:hAnsi="Times New Roman" w:cs="Times New Roman"/>
          <w:sz w:val="23"/>
          <w:szCs w:val="23"/>
          <w:lang w:val="ro-RO"/>
        </w:rPr>
        <w:lastRenderedPageBreak/>
        <w:t>O prioritate în cadrul acestui obiectiv este de asemenea reglementarea statutului și regimului juridic al consumatorului vulnerabil, precum și modalitatea de finanțare a acestuia.</w:t>
      </w:r>
    </w:p>
    <w:p w14:paraId="660D7863" w14:textId="77777777" w:rsidR="007F20EF" w:rsidRPr="007C266E" w:rsidRDefault="007F20EF" w:rsidP="00393588">
      <w:pPr>
        <w:pStyle w:val="Heading2"/>
        <w:spacing w:line="240" w:lineRule="auto"/>
        <w:rPr>
          <w:rFonts w:ascii="Times New Roman" w:hAnsi="Times New Roman" w:cs="Times New Roman"/>
          <w:sz w:val="23"/>
          <w:szCs w:val="23"/>
          <w:lang w:val="ro-RO"/>
        </w:rPr>
      </w:pPr>
      <w:bookmarkStart w:id="10" w:name="_Toc44400858"/>
      <w:r w:rsidRPr="007C266E">
        <w:rPr>
          <w:rFonts w:ascii="Times New Roman" w:hAnsi="Times New Roman" w:cs="Times New Roman"/>
          <w:sz w:val="23"/>
          <w:szCs w:val="23"/>
          <w:lang w:val="ro-RO"/>
        </w:rPr>
        <w:t>II.</w:t>
      </w:r>
      <w:r w:rsidR="00F204F8" w:rsidRPr="007C266E">
        <w:rPr>
          <w:rFonts w:ascii="Times New Roman" w:hAnsi="Times New Roman" w:cs="Times New Roman"/>
          <w:sz w:val="23"/>
          <w:szCs w:val="23"/>
          <w:lang w:val="ro-RO"/>
        </w:rPr>
        <w:t>5</w:t>
      </w:r>
      <w:r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ab/>
        <w:t>Piețe de energie competitive, baza unei economii competitive</w:t>
      </w:r>
      <w:bookmarkEnd w:id="10"/>
    </w:p>
    <w:p w14:paraId="2DD05D29" w14:textId="77777777" w:rsidR="00A13E17" w:rsidRPr="007C266E" w:rsidRDefault="007F20EF" w:rsidP="006E1D2D">
      <w:pPr>
        <w:spacing w:before="120"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Sistemul energetic trebuie să funcționeze pe baza mecanismelor pieței libere, rolul principal al statului fiind cel de elaborator de politici, de reglementator, de garant al stabilității sistemului energetic și de investitor. </w:t>
      </w:r>
    </w:p>
    <w:p w14:paraId="2D92B6A7" w14:textId="77777777" w:rsidR="00393588" w:rsidRPr="007C266E" w:rsidRDefault="00393588" w:rsidP="00393588">
      <w:pPr>
        <w:spacing w:after="0" w:line="240" w:lineRule="auto"/>
        <w:jc w:val="both"/>
        <w:rPr>
          <w:rFonts w:ascii="Times New Roman" w:hAnsi="Times New Roman" w:cs="Times New Roman"/>
          <w:sz w:val="23"/>
          <w:szCs w:val="23"/>
          <w:lang w:val="ro-RO"/>
        </w:rPr>
      </w:pPr>
    </w:p>
    <w:p w14:paraId="7075E674" w14:textId="77777777" w:rsidR="00AB14E1" w:rsidRPr="007C266E" w:rsidRDefault="00AB14E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Obiectivele ambițioase de </w:t>
      </w:r>
      <w:r w:rsidR="00393588" w:rsidRPr="007C266E">
        <w:rPr>
          <w:rFonts w:ascii="Times New Roman" w:hAnsi="Times New Roman" w:cs="Times New Roman"/>
          <w:sz w:val="23"/>
          <w:szCs w:val="23"/>
          <w:lang w:val="ro-RO"/>
        </w:rPr>
        <w:t>energie ș</w:t>
      </w:r>
      <w:r w:rsidRPr="007C266E">
        <w:rPr>
          <w:rFonts w:ascii="Times New Roman" w:hAnsi="Times New Roman" w:cs="Times New Roman"/>
          <w:sz w:val="23"/>
          <w:szCs w:val="23"/>
          <w:lang w:val="ro-RO"/>
        </w:rPr>
        <w:t xml:space="preserve">i </w:t>
      </w:r>
      <w:r w:rsidR="00393588" w:rsidRPr="007C266E">
        <w:rPr>
          <w:rFonts w:ascii="Times New Roman" w:hAnsi="Times New Roman" w:cs="Times New Roman"/>
          <w:sz w:val="23"/>
          <w:szCs w:val="23"/>
          <w:lang w:val="ro-RO"/>
        </w:rPr>
        <w:t xml:space="preserve">climă </w:t>
      </w:r>
      <w:r w:rsidRPr="007C266E">
        <w:rPr>
          <w:rFonts w:ascii="Times New Roman" w:hAnsi="Times New Roman" w:cs="Times New Roman"/>
          <w:sz w:val="23"/>
          <w:szCs w:val="23"/>
          <w:lang w:val="ro-RO"/>
        </w:rPr>
        <w:t>pentru 2030 impun dezvoltarea unui nou model de</w:t>
      </w:r>
      <w:r w:rsidR="00922707" w:rsidRPr="007C266E">
        <w:rPr>
          <w:rFonts w:ascii="Times New Roman" w:hAnsi="Times New Roman" w:cs="Times New Roman"/>
          <w:sz w:val="23"/>
          <w:szCs w:val="23"/>
          <w:lang w:val="ro-RO"/>
        </w:rPr>
        <w:t xml:space="preserve"> piață</w:t>
      </w:r>
      <w:r w:rsidRPr="007C266E">
        <w:rPr>
          <w:rFonts w:ascii="Times New Roman" w:hAnsi="Times New Roman" w:cs="Times New Roman"/>
          <w:sz w:val="23"/>
          <w:szCs w:val="23"/>
          <w:lang w:val="ro-RO"/>
        </w:rPr>
        <w:t xml:space="preserve"> de energie electrică care vizează creșterea eficienței energetice, a producerii din surse regenerabile, a siguranței alimentării, a sustenabilității, a decarbonării și a inovării.</w:t>
      </w:r>
    </w:p>
    <w:p w14:paraId="7616DC69" w14:textId="77777777" w:rsidR="00AB14E1" w:rsidRPr="007C266E" w:rsidRDefault="00AB14E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Transpunerea în legislația națională a </w:t>
      </w:r>
      <w:r w:rsidRPr="007C266E">
        <w:rPr>
          <w:rFonts w:ascii="Times New Roman" w:eastAsia="Times New Roman" w:hAnsi="Times New Roman" w:cs="Times New Roman"/>
          <w:sz w:val="23"/>
          <w:szCs w:val="23"/>
          <w:lang w:val="ro-RO"/>
        </w:rPr>
        <w:t>Directivei (UE) 2019/944 privind normele comune pentru piața internă de energie electrică, precum și a modalității de aplicare a prevederilor Regulamentului (UE) 2019/941 privind pregătirea pentru riscuri în sectorul energiei electrice, Regulamentului (UE) 2019/942 de instituire a Agenției Uniunii Europene pentru Cooperarea Autorităților de Reglementare din Dom</w:t>
      </w:r>
      <w:r w:rsidR="00922707" w:rsidRPr="007C266E">
        <w:rPr>
          <w:rFonts w:ascii="Times New Roman" w:eastAsia="Times New Roman" w:hAnsi="Times New Roman" w:cs="Times New Roman"/>
          <w:sz w:val="23"/>
          <w:szCs w:val="23"/>
          <w:lang w:val="ro-RO"/>
        </w:rPr>
        <w:t>eniul Energiei și Regulamentul (UE) 2019/943 privind piața internă</w:t>
      </w:r>
      <w:r w:rsidRPr="007C266E">
        <w:rPr>
          <w:rFonts w:ascii="Times New Roman" w:eastAsia="Times New Roman" w:hAnsi="Times New Roman" w:cs="Times New Roman"/>
          <w:sz w:val="23"/>
          <w:szCs w:val="23"/>
          <w:lang w:val="ro-RO"/>
        </w:rPr>
        <w:t xml:space="preserve"> de energie electrică, </w:t>
      </w:r>
      <w:r w:rsidRPr="007C266E">
        <w:rPr>
          <w:rFonts w:ascii="Times New Roman" w:hAnsi="Times New Roman" w:cs="Times New Roman"/>
          <w:sz w:val="23"/>
          <w:szCs w:val="23"/>
          <w:lang w:val="ro-RO"/>
        </w:rPr>
        <w:t>urmăresc accesul nediscriminatoriu în piața de electricitate, asigurarea competitivității, stocarea de energie, facilitarea agregării cererii și a ofertei distribuite, facilitarea realizării unei piețe funcționale și transparente care să contribuie la</w:t>
      </w:r>
      <w:r w:rsidR="00AA1D2A" w:rsidRPr="007C266E">
        <w:rPr>
          <w:rFonts w:ascii="Times New Roman" w:hAnsi="Times New Roman" w:cs="Times New Roman"/>
          <w:sz w:val="23"/>
          <w:szCs w:val="23"/>
          <w:lang w:val="ro-RO"/>
        </w:rPr>
        <w:t xml:space="preserve"> creșterea nivelului de</w:t>
      </w:r>
      <w:r w:rsidRPr="007C266E">
        <w:rPr>
          <w:rFonts w:ascii="Times New Roman" w:hAnsi="Times New Roman" w:cs="Times New Roman"/>
          <w:sz w:val="23"/>
          <w:szCs w:val="23"/>
          <w:lang w:val="ro-RO"/>
        </w:rPr>
        <w:t xml:space="preserve"> siguranț</w:t>
      </w:r>
      <w:r w:rsidR="00AA1D2A"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w:t>
      </w:r>
      <w:r w:rsidR="00AA1D2A" w:rsidRPr="007C266E">
        <w:rPr>
          <w:rFonts w:ascii="Times New Roman" w:hAnsi="Times New Roman" w:cs="Times New Roman"/>
          <w:sz w:val="23"/>
          <w:szCs w:val="23"/>
          <w:lang w:val="ro-RO"/>
        </w:rPr>
        <w:t xml:space="preserve">în </w:t>
      </w:r>
      <w:r w:rsidRPr="007C266E">
        <w:rPr>
          <w:rFonts w:ascii="Times New Roman" w:hAnsi="Times New Roman" w:cs="Times New Roman"/>
          <w:sz w:val="23"/>
          <w:szCs w:val="23"/>
          <w:lang w:val="ro-RO"/>
        </w:rPr>
        <w:t>aliment</w:t>
      </w:r>
      <w:r w:rsidR="00AA1D2A" w:rsidRPr="007C266E">
        <w:rPr>
          <w:rFonts w:ascii="Times New Roman" w:hAnsi="Times New Roman" w:cs="Times New Roman"/>
          <w:sz w:val="23"/>
          <w:szCs w:val="23"/>
          <w:lang w:val="ro-RO"/>
        </w:rPr>
        <w:t>area</w:t>
      </w:r>
      <w:r w:rsidRPr="007C266E">
        <w:rPr>
          <w:rFonts w:ascii="Times New Roman" w:hAnsi="Times New Roman" w:cs="Times New Roman"/>
          <w:sz w:val="23"/>
          <w:szCs w:val="23"/>
          <w:lang w:val="ro-RO"/>
        </w:rPr>
        <w:t xml:space="preserve"> cu energie electrică și care să prevadă mecanisme de armonizare a normelor pentru schimburile transfrontaliere de energie electrică.  </w:t>
      </w:r>
    </w:p>
    <w:p w14:paraId="6612941D" w14:textId="77777777" w:rsidR="00393588" w:rsidRPr="007C266E" w:rsidRDefault="00393588" w:rsidP="00393588">
      <w:pPr>
        <w:spacing w:after="0" w:line="240" w:lineRule="auto"/>
        <w:jc w:val="both"/>
        <w:rPr>
          <w:rFonts w:ascii="Times New Roman" w:eastAsia="Calibri" w:hAnsi="Times New Roman" w:cs="Times New Roman"/>
          <w:sz w:val="23"/>
          <w:szCs w:val="23"/>
          <w:lang w:val="ro-RO"/>
        </w:rPr>
      </w:pPr>
    </w:p>
    <w:p w14:paraId="71C912FE" w14:textId="77777777" w:rsidR="00AB14E1" w:rsidRPr="007C266E" w:rsidRDefault="00AB14E1" w:rsidP="00393588">
      <w:pPr>
        <w:spacing w:after="0" w:line="240" w:lineRule="auto"/>
        <w:jc w:val="both"/>
        <w:rPr>
          <w:rFonts w:ascii="Times New Roman" w:eastAsia="Calibri" w:hAnsi="Times New Roman" w:cs="Times New Roman"/>
          <w:sz w:val="23"/>
          <w:szCs w:val="23"/>
          <w:lang w:val="ro-RO"/>
        </w:rPr>
      </w:pPr>
      <w:r w:rsidRPr="007C266E">
        <w:rPr>
          <w:rFonts w:ascii="Times New Roman" w:eastAsia="Calibri" w:hAnsi="Times New Roman" w:cs="Times New Roman"/>
          <w:sz w:val="23"/>
          <w:szCs w:val="23"/>
          <w:lang w:val="ro-RO"/>
        </w:rPr>
        <w:t xml:space="preserve">Complexitatea noilor prevederi europene și implicațiile pe care acestea le vor avea la nivelul pieței interne de energie și, implicit, asupra consumatorilor finali, impune necesitatea realizării unei legislații care să fie în totalitate conformă cu noul pachet </w:t>
      </w:r>
      <w:r w:rsidRPr="007C266E">
        <w:rPr>
          <w:rFonts w:ascii="Times New Roman" w:eastAsia="Calibri" w:hAnsi="Times New Roman" w:cs="Times New Roman"/>
          <w:sz w:val="23"/>
          <w:szCs w:val="23"/>
          <w:lang w:val="ro-RO"/>
        </w:rPr>
        <w:lastRenderedPageBreak/>
        <w:t>european, care să transpună complet și corect prevederile și principiile europene de liberalizare totală a pie</w:t>
      </w:r>
      <w:r w:rsidR="00393588" w:rsidRPr="007C266E">
        <w:rPr>
          <w:rFonts w:ascii="Times New Roman" w:eastAsia="Calibri" w:hAnsi="Times New Roman" w:cs="Times New Roman"/>
          <w:sz w:val="23"/>
          <w:szCs w:val="23"/>
          <w:lang w:val="ro-RO"/>
        </w:rPr>
        <w:t>ț</w:t>
      </w:r>
      <w:r w:rsidRPr="007C266E">
        <w:rPr>
          <w:rFonts w:ascii="Times New Roman" w:eastAsia="Calibri" w:hAnsi="Times New Roman" w:cs="Times New Roman"/>
          <w:sz w:val="23"/>
          <w:szCs w:val="23"/>
          <w:lang w:val="ro-RO"/>
        </w:rPr>
        <w:t>ei de energie, de integrare a piețelor pentru tranziția către o producție mai curată a energiei electrice în vederea decarbonării și comericalizării un</w:t>
      </w:r>
      <w:r w:rsidR="00393588" w:rsidRPr="007C266E">
        <w:rPr>
          <w:rFonts w:ascii="Times New Roman" w:eastAsia="Calibri" w:hAnsi="Times New Roman" w:cs="Times New Roman"/>
          <w:sz w:val="23"/>
          <w:szCs w:val="23"/>
          <w:lang w:val="ro-RO"/>
        </w:rPr>
        <w:t>e</w:t>
      </w:r>
      <w:r w:rsidRPr="007C266E">
        <w:rPr>
          <w:rFonts w:ascii="Times New Roman" w:eastAsia="Calibri" w:hAnsi="Times New Roman" w:cs="Times New Roman"/>
          <w:sz w:val="23"/>
          <w:szCs w:val="23"/>
          <w:lang w:val="ro-RO"/>
        </w:rPr>
        <w:t xml:space="preserve">i energii cu emisii reduse de carbon. </w:t>
      </w:r>
    </w:p>
    <w:p w14:paraId="49EAA125" w14:textId="77777777" w:rsidR="00AB14E1" w:rsidRPr="007C266E" w:rsidRDefault="00AB14E1" w:rsidP="00393588">
      <w:pPr>
        <w:spacing w:before="120" w:after="0" w:line="240" w:lineRule="auto"/>
        <w:jc w:val="both"/>
        <w:rPr>
          <w:rFonts w:ascii="Times New Roman" w:eastAsia="Calibri" w:hAnsi="Times New Roman" w:cs="Times New Roman"/>
          <w:sz w:val="23"/>
          <w:szCs w:val="23"/>
          <w:lang w:val="ro-RO"/>
        </w:rPr>
      </w:pPr>
      <w:r w:rsidRPr="007C266E">
        <w:rPr>
          <w:rFonts w:ascii="Times New Roman" w:eastAsia="Calibri" w:hAnsi="Times New Roman" w:cs="Times New Roman"/>
          <w:sz w:val="23"/>
          <w:szCs w:val="23"/>
          <w:lang w:val="ro-RO"/>
        </w:rPr>
        <w:t xml:space="preserve">Schimbările aduse de noul pachet legislativ european implică modificări ale pieței de energie la nivel național, ale principiilor de funcționare, a structurii și a regulilor de funcționare ale acesteia și implicit asupra mixului energetic național și a consumatorului final. </w:t>
      </w:r>
    </w:p>
    <w:p w14:paraId="4934E07B" w14:textId="77777777" w:rsidR="00AB14E1" w:rsidRPr="007C266E" w:rsidRDefault="00AB14E1" w:rsidP="00393588">
      <w:pPr>
        <w:spacing w:before="120" w:after="0" w:line="240" w:lineRule="auto"/>
        <w:jc w:val="both"/>
        <w:rPr>
          <w:rFonts w:ascii="Times New Roman" w:eastAsia="Calibri" w:hAnsi="Times New Roman" w:cs="Times New Roman"/>
          <w:sz w:val="23"/>
          <w:szCs w:val="23"/>
          <w:lang w:val="ro-RO"/>
        </w:rPr>
      </w:pPr>
      <w:r w:rsidRPr="007C266E">
        <w:rPr>
          <w:rFonts w:ascii="Times New Roman" w:eastAsia="Calibri" w:hAnsi="Times New Roman" w:cs="Times New Roman"/>
          <w:sz w:val="23"/>
          <w:szCs w:val="23"/>
          <w:lang w:val="ro-RO"/>
        </w:rPr>
        <w:t>O evaluare corectă a impactului la nivel național a implementării pachetului legislativ este un element important și esențial în decizia statului de identificare a mecanismelor de protecție a consumatorilor finali și a consumatorilor vulnerabili, precum și a mecanismelor de susținere pentru creșterea eficienței și tranziția către o industrie energetică decarbonată.</w:t>
      </w:r>
    </w:p>
    <w:p w14:paraId="0C94B8EF" w14:textId="77777777" w:rsidR="00DF2C8E" w:rsidRPr="007C266E" w:rsidRDefault="00DF2C8E" w:rsidP="00393588">
      <w:pPr>
        <w:pStyle w:val="Heading2"/>
        <w:spacing w:line="240" w:lineRule="auto"/>
        <w:rPr>
          <w:rFonts w:ascii="Times New Roman" w:hAnsi="Times New Roman" w:cs="Times New Roman"/>
          <w:sz w:val="23"/>
          <w:szCs w:val="23"/>
          <w:lang w:val="ro-RO"/>
        </w:rPr>
      </w:pPr>
      <w:bookmarkStart w:id="11" w:name="_Toc44400859"/>
      <w:r w:rsidRPr="007C266E">
        <w:rPr>
          <w:rFonts w:ascii="Times New Roman" w:hAnsi="Times New Roman" w:cs="Times New Roman"/>
          <w:sz w:val="23"/>
          <w:szCs w:val="23"/>
          <w:lang w:val="ro-RO"/>
        </w:rPr>
        <w:t>II.6.</w:t>
      </w:r>
      <w:r w:rsidRPr="007C266E">
        <w:rPr>
          <w:rFonts w:ascii="Times New Roman" w:hAnsi="Times New Roman" w:cs="Times New Roman"/>
          <w:sz w:val="23"/>
          <w:szCs w:val="23"/>
          <w:lang w:val="ro-RO"/>
        </w:rPr>
        <w:tab/>
        <w:t>Creșterea calității învățământului și inovării în domeniul energiei și formarea continuă a resursei umane</w:t>
      </w:r>
      <w:bookmarkEnd w:id="11"/>
    </w:p>
    <w:p w14:paraId="40877208" w14:textId="77777777" w:rsidR="00E15E34" w:rsidRPr="007C266E" w:rsidRDefault="00E15E34" w:rsidP="00393588">
      <w:pPr>
        <w:spacing w:after="0" w:line="240" w:lineRule="auto"/>
        <w:rPr>
          <w:rFonts w:ascii="Times New Roman" w:hAnsi="Times New Roman" w:cs="Times New Roman"/>
          <w:sz w:val="23"/>
          <w:szCs w:val="23"/>
          <w:lang w:val="ro-RO"/>
        </w:rPr>
      </w:pPr>
    </w:p>
    <w:p w14:paraId="272E6224" w14:textId="77777777" w:rsidR="00EB3BD0" w:rsidRPr="007C266E" w:rsidRDefault="00EB3BD0" w:rsidP="00393588">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Sectorul energetic se confruntă cu o lipsă acută de profesioniști. Personalul calificat este în bună măsură îmbătrânit, iar o parte a personalului calificat activ a ales să plece din România. Formarea și perfecționarea continuă a unui energetician, indiferent de locul său de muncă sau de tipul studiilor absolvite, este una complexă. Creșterea numărului de profesioniști în domeniul energiei presupune creșterea calității și atractivității învățământului de specialitate.</w:t>
      </w:r>
    </w:p>
    <w:p w14:paraId="3977D2A0" w14:textId="77777777" w:rsidR="00EB3BD0" w:rsidRPr="007C266E" w:rsidRDefault="00EB3BD0" w:rsidP="00393588">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Dezvoltarea şi cultivarea competenţelor şi abilităţilor energeticienilor înseamnă dezvoltarea pachetelor educaționale specifice la toate nivelurile: licee și școli profesionale publice și în sistem dual, formare continuă la locul muncă, programe moderne de licență și master, precum și școli doctorale în domeniu.</w:t>
      </w:r>
    </w:p>
    <w:p w14:paraId="44D80BE8" w14:textId="77777777" w:rsidR="00EB3BD0" w:rsidRPr="007C266E" w:rsidRDefault="00EB3BD0" w:rsidP="00393588">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Inovarea bazată pe cercetare științifică și dezvoltare tehnologică necesită încurajarea și dezvoltarea centrelor de excelență în domeniul energiei, în particular al energiilor regenerabile, capabile să deruleze proiecte complexe cu tematică definită de evoluțiile preconizate ale sectorului energetic, oferind astfel know-how robust în vederea asigurării performanțelor optime pentru noile investiții, respectiv pentru exploatarea și retehnologizarea echipamentelor existente.</w:t>
      </w:r>
    </w:p>
    <w:p w14:paraId="2F4D9D92" w14:textId="77777777" w:rsidR="00EB3BD0" w:rsidRPr="007C266E" w:rsidRDefault="00EB3BD0" w:rsidP="0039358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3"/>
          <w:szCs w:val="23"/>
          <w:lang w:val="ro-RO"/>
        </w:rPr>
      </w:pPr>
      <w:r w:rsidRPr="007C266E">
        <w:rPr>
          <w:rFonts w:ascii="Times New Roman" w:hAnsi="Times New Roman" w:cs="Times New Roman"/>
          <w:b/>
          <w:sz w:val="23"/>
          <w:szCs w:val="23"/>
          <w:lang w:val="ro-RO"/>
        </w:rPr>
        <w:t>Succesul implementării viziunii și obiectivelor Strategiei Energetice a României este direct proporțional cu investiția în calitatea învățământului și formării în domeniul energiei, precum și în inovare bazată pe cercetare științifică și dezvoltare tehnologică.</w:t>
      </w:r>
    </w:p>
    <w:p w14:paraId="4FA2BF28" w14:textId="77777777" w:rsidR="00C43C61" w:rsidRPr="007C266E" w:rsidRDefault="007F20EF" w:rsidP="00393588">
      <w:pPr>
        <w:pStyle w:val="Heading2"/>
        <w:spacing w:line="240" w:lineRule="auto"/>
        <w:rPr>
          <w:rFonts w:ascii="Times New Roman" w:hAnsi="Times New Roman" w:cs="Times New Roman"/>
          <w:color w:val="auto"/>
          <w:sz w:val="23"/>
          <w:szCs w:val="23"/>
          <w:lang w:val="ro-RO"/>
        </w:rPr>
      </w:pPr>
      <w:bookmarkStart w:id="12" w:name="_Toc44400860"/>
      <w:r w:rsidRPr="007C266E">
        <w:rPr>
          <w:rFonts w:ascii="Times New Roman" w:hAnsi="Times New Roman" w:cs="Times New Roman"/>
          <w:sz w:val="23"/>
          <w:szCs w:val="23"/>
          <w:lang w:val="ro-RO"/>
        </w:rPr>
        <w:t>II.7</w:t>
      </w:r>
      <w:r w:rsidR="00C43C61" w:rsidRPr="007C266E">
        <w:rPr>
          <w:rFonts w:ascii="Times New Roman" w:hAnsi="Times New Roman" w:cs="Times New Roman"/>
          <w:sz w:val="23"/>
          <w:szCs w:val="23"/>
          <w:lang w:val="ro-RO"/>
        </w:rPr>
        <w:t>.</w:t>
      </w:r>
      <w:r w:rsidR="00C43C61" w:rsidRPr="007C266E">
        <w:rPr>
          <w:rFonts w:ascii="Times New Roman" w:hAnsi="Times New Roman" w:cs="Times New Roman"/>
          <w:sz w:val="23"/>
          <w:szCs w:val="23"/>
          <w:lang w:val="ro-RO"/>
        </w:rPr>
        <w:tab/>
        <w:t>România, furnizor regional de securitate energetică</w:t>
      </w:r>
      <w:bookmarkEnd w:id="12"/>
    </w:p>
    <w:p w14:paraId="318C488F" w14:textId="77777777" w:rsidR="00C43C61" w:rsidRPr="007C266E" w:rsidRDefault="00C43C61" w:rsidP="006E1D2D">
      <w:pPr>
        <w:spacing w:after="0" w:line="240" w:lineRule="auto"/>
        <w:jc w:val="both"/>
        <w:rPr>
          <w:rFonts w:ascii="Times New Roman" w:hAnsi="Times New Roman" w:cs="Times New Roman"/>
          <w:sz w:val="23"/>
          <w:szCs w:val="23"/>
          <w:lang w:val="ro-RO"/>
        </w:rPr>
      </w:pPr>
    </w:p>
    <w:p w14:paraId="6DC8666B" w14:textId="77777777" w:rsidR="009240F1" w:rsidRPr="007C266E" w:rsidRDefault="00C43C61" w:rsidP="0038022C">
      <w:pPr>
        <w:pStyle w:val="CommentText"/>
        <w:rPr>
          <w:rFonts w:ascii="Times New Roman" w:hAnsi="Times New Roman" w:cs="Times New Roman"/>
          <w:sz w:val="23"/>
          <w:szCs w:val="23"/>
        </w:rPr>
      </w:pPr>
      <w:r w:rsidRPr="007C266E">
        <w:rPr>
          <w:rFonts w:ascii="Times New Roman" w:hAnsi="Times New Roman" w:cs="Times New Roman"/>
          <w:sz w:val="23"/>
          <w:szCs w:val="23"/>
        </w:rPr>
        <w:t xml:space="preserve">Contextul internațional actual al piețelor de energie este marcat de volatilitate, iar evoluția tehnologiilor poate </w:t>
      </w:r>
      <w:r w:rsidR="00CB2FF7" w:rsidRPr="007C266E">
        <w:rPr>
          <w:rFonts w:ascii="Times New Roman" w:hAnsi="Times New Roman" w:cs="Times New Roman"/>
          <w:sz w:val="23"/>
          <w:szCs w:val="23"/>
        </w:rPr>
        <w:t xml:space="preserve">modifica semnificativ modul de funcționare al piețelor de energie. </w:t>
      </w:r>
    </w:p>
    <w:p w14:paraId="3C0E1A39" w14:textId="77777777" w:rsidR="00096A00" w:rsidRPr="007C266E" w:rsidRDefault="009240F1" w:rsidP="0039358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privința securității aprovizionării cu resurse energetice, dezvoltarea capacităților de producere a energiei din surse regenerabile de energie și din surse cu emisii scăzute de gaze cu efect de seră va asigura un mix energetic echilibrat și diversificat. </w:t>
      </w:r>
    </w:p>
    <w:p w14:paraId="0410C039" w14:textId="77777777" w:rsidR="00096A00" w:rsidRPr="007C266E" w:rsidRDefault="00096A00" w:rsidP="0038022C">
      <w:pPr>
        <w:spacing w:after="0" w:line="240" w:lineRule="auto"/>
        <w:jc w:val="both"/>
        <w:rPr>
          <w:rFonts w:ascii="Times New Roman" w:hAnsi="Times New Roman" w:cs="Times New Roman"/>
          <w:sz w:val="23"/>
          <w:szCs w:val="23"/>
          <w:lang w:val="ro-RO"/>
        </w:rPr>
      </w:pPr>
    </w:p>
    <w:p w14:paraId="11AAF113" w14:textId="77777777" w:rsidR="003C5833" w:rsidRPr="007C266E" w:rsidRDefault="009240F1"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De asemenea, prin valorificarea potențialului de hidrocarburi </w:t>
      </w:r>
      <w:r w:rsidR="00E746F4" w:rsidRPr="007C266E">
        <w:rPr>
          <w:rFonts w:ascii="Times New Roman" w:hAnsi="Times New Roman" w:cs="Times New Roman"/>
          <w:sz w:val="23"/>
          <w:szCs w:val="23"/>
          <w:lang w:val="ro-RO"/>
        </w:rPr>
        <w:t xml:space="preserve">și off-shore </w:t>
      </w:r>
      <w:r w:rsidR="00CB2FF7" w:rsidRPr="007C266E">
        <w:rPr>
          <w:rFonts w:ascii="Times New Roman" w:hAnsi="Times New Roman" w:cs="Times New Roman"/>
          <w:sz w:val="23"/>
          <w:szCs w:val="23"/>
        </w:rPr>
        <w:t>al surselor regenerabile</w:t>
      </w:r>
      <w:r w:rsidR="00CB2FF7" w:rsidRPr="007C266E">
        <w:rPr>
          <w:rStyle w:val="CommentReference"/>
          <w:rFonts w:ascii="Times New Roman" w:hAnsi="Times New Roman" w:cs="Times New Roman"/>
          <w:sz w:val="23"/>
          <w:szCs w:val="23"/>
          <w:lang w:val="ro-RO"/>
        </w:rPr>
        <w:t xml:space="preserve"> </w:t>
      </w:r>
      <w:r w:rsidR="00DF2C8E" w:rsidRPr="007C266E">
        <w:rPr>
          <w:rFonts w:ascii="Times New Roman" w:hAnsi="Times New Roman" w:cs="Times New Roman"/>
          <w:sz w:val="23"/>
          <w:szCs w:val="23"/>
          <w:lang w:val="ro-RO"/>
        </w:rPr>
        <w:t>din Marea Neagră,</w:t>
      </w:r>
      <w:r w:rsidRPr="007C266E">
        <w:rPr>
          <w:rFonts w:ascii="Times New Roman" w:hAnsi="Times New Roman" w:cs="Times New Roman"/>
          <w:sz w:val="23"/>
          <w:szCs w:val="23"/>
          <w:lang w:val="ro-RO"/>
        </w:rPr>
        <w:t xml:space="preserve"> România poate deveni un furnizor regional de securitate energetică</w:t>
      </w:r>
      <w:r w:rsidR="00DF2C8E"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În același timp, </w:t>
      </w:r>
      <w:r w:rsidR="00E746F4" w:rsidRPr="007C266E">
        <w:rPr>
          <w:rFonts w:ascii="Times New Roman" w:hAnsi="Times New Roman" w:cs="Times New Roman"/>
          <w:sz w:val="23"/>
          <w:szCs w:val="23"/>
          <w:lang w:val="ro-RO"/>
        </w:rPr>
        <w:t>î</w:t>
      </w:r>
      <w:r w:rsidR="00E746F4" w:rsidRPr="007C266E">
        <w:rPr>
          <w:rFonts w:ascii="Times New Roman" w:hAnsi="Times New Roman" w:cs="Times New Roman"/>
          <w:b/>
          <w:sz w:val="23"/>
          <w:szCs w:val="23"/>
        </w:rPr>
        <w:t>ntărirea și modernizarea rețelelor, digitalizarea,</w:t>
      </w:r>
      <w:r w:rsidR="00E746F4"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diversificarea surselor ș</w:t>
      </w:r>
      <w:r w:rsidR="00DF2C8E" w:rsidRPr="007C266E">
        <w:rPr>
          <w:rFonts w:ascii="Times New Roman" w:hAnsi="Times New Roman" w:cs="Times New Roman"/>
          <w:sz w:val="23"/>
          <w:szCs w:val="23"/>
          <w:lang w:val="ro-RO"/>
        </w:rPr>
        <w:t>i a rutelor de aprovizionare</w:t>
      </w:r>
      <w:r w:rsidRPr="007C266E">
        <w:rPr>
          <w:rFonts w:ascii="Times New Roman" w:hAnsi="Times New Roman" w:cs="Times New Roman"/>
          <w:sz w:val="23"/>
          <w:szCs w:val="23"/>
          <w:lang w:val="ro-RO"/>
        </w:rPr>
        <w:t>, creșterea și modernizarea capacitaților de stocare</w:t>
      </w:r>
      <w:r w:rsidR="00E746F4" w:rsidRPr="007C266E">
        <w:rPr>
          <w:rFonts w:ascii="Times New Roman" w:hAnsi="Times New Roman" w:cs="Times New Roman"/>
          <w:b/>
          <w:sz w:val="23"/>
          <w:szCs w:val="23"/>
        </w:rPr>
        <w:t>, compatibile cu utilizarea noilor gaze și a hidrogenului</w:t>
      </w:r>
      <w:r w:rsidRPr="007C266E">
        <w:rPr>
          <w:rFonts w:ascii="Times New Roman" w:hAnsi="Times New Roman" w:cs="Times New Roman"/>
          <w:sz w:val="23"/>
          <w:szCs w:val="23"/>
          <w:lang w:val="ro-RO"/>
        </w:rPr>
        <w:t xml:space="preserve"> </w:t>
      </w:r>
      <w:r w:rsidR="00E746F4" w:rsidRPr="007C266E">
        <w:rPr>
          <w:rFonts w:ascii="Times New Roman" w:hAnsi="Times New Roman" w:cs="Times New Roman"/>
          <w:sz w:val="23"/>
          <w:szCs w:val="23"/>
          <w:lang w:val="ro-RO"/>
        </w:rPr>
        <w:t xml:space="preserve">precum </w:t>
      </w:r>
      <w:r w:rsidR="00DF2C8E" w:rsidRPr="007C266E">
        <w:rPr>
          <w:rFonts w:ascii="Times New Roman" w:hAnsi="Times New Roman" w:cs="Times New Roman"/>
          <w:sz w:val="23"/>
          <w:szCs w:val="23"/>
          <w:lang w:val="ro-RO"/>
        </w:rPr>
        <w:t>și c</w:t>
      </w:r>
      <w:r w:rsidRPr="007C266E">
        <w:rPr>
          <w:rFonts w:ascii="Times New Roman" w:hAnsi="Times New Roman" w:cs="Times New Roman"/>
          <w:sz w:val="23"/>
          <w:szCs w:val="23"/>
          <w:lang w:val="ro-RO"/>
        </w:rPr>
        <w:t>reșterea capacit</w:t>
      </w:r>
      <w:r w:rsidR="009F5B0F"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ților de </w:t>
      </w:r>
      <w:r w:rsidRPr="007C266E">
        <w:rPr>
          <w:rFonts w:ascii="Times New Roman" w:hAnsi="Times New Roman" w:cs="Times New Roman"/>
          <w:sz w:val="23"/>
          <w:szCs w:val="23"/>
          <w:lang w:val="ro-RO"/>
        </w:rPr>
        <w:lastRenderedPageBreak/>
        <w:t xml:space="preserve">interconectare cu statele vecine, </w:t>
      </w:r>
      <w:r w:rsidR="00B71BEA" w:rsidRPr="007C266E">
        <w:rPr>
          <w:rFonts w:ascii="Times New Roman" w:hAnsi="Times New Roman" w:cs="Times New Roman"/>
          <w:sz w:val="23"/>
          <w:szCs w:val="23"/>
          <w:lang w:val="ro-RO"/>
        </w:rPr>
        <w:t>reprezintă factori care vor contribui</w:t>
      </w:r>
      <w:r w:rsidR="00DF2C8E" w:rsidRPr="007C266E">
        <w:rPr>
          <w:rFonts w:ascii="Times New Roman" w:hAnsi="Times New Roman" w:cs="Times New Roman"/>
          <w:sz w:val="23"/>
          <w:szCs w:val="23"/>
          <w:lang w:val="ro-RO"/>
        </w:rPr>
        <w:t xml:space="preserve"> în primul rând </w:t>
      </w:r>
      <w:r w:rsidR="00B71BEA" w:rsidRPr="007C266E">
        <w:rPr>
          <w:rFonts w:ascii="Times New Roman" w:hAnsi="Times New Roman" w:cs="Times New Roman"/>
          <w:sz w:val="23"/>
          <w:szCs w:val="23"/>
          <w:lang w:val="ro-RO"/>
        </w:rPr>
        <w:t>la</w:t>
      </w:r>
      <w:r w:rsidR="00DF2C8E" w:rsidRPr="007C266E">
        <w:rPr>
          <w:rFonts w:ascii="Times New Roman" w:hAnsi="Times New Roman" w:cs="Times New Roman"/>
          <w:sz w:val="23"/>
          <w:szCs w:val="23"/>
          <w:lang w:val="ro-RO"/>
        </w:rPr>
        <w:t xml:space="preserve"> asigurarea</w:t>
      </w:r>
      <w:r w:rsidRPr="007C266E">
        <w:rPr>
          <w:rFonts w:ascii="Times New Roman" w:hAnsi="Times New Roman" w:cs="Times New Roman"/>
          <w:sz w:val="23"/>
          <w:szCs w:val="23"/>
          <w:lang w:val="ro-RO"/>
        </w:rPr>
        <w:t xml:space="preserve"> securității energetice</w:t>
      </w:r>
      <w:r w:rsidR="00DF2C8E" w:rsidRPr="007C266E">
        <w:rPr>
          <w:rFonts w:ascii="Times New Roman" w:hAnsi="Times New Roman" w:cs="Times New Roman"/>
          <w:sz w:val="23"/>
          <w:szCs w:val="23"/>
          <w:lang w:val="ro-RO"/>
        </w:rPr>
        <w:t xml:space="preserve"> naționale, dar și </w:t>
      </w:r>
      <w:r w:rsidR="00B71BEA" w:rsidRPr="007C266E">
        <w:rPr>
          <w:rFonts w:ascii="Times New Roman" w:hAnsi="Times New Roman" w:cs="Times New Roman"/>
          <w:sz w:val="23"/>
          <w:szCs w:val="23"/>
          <w:lang w:val="ro-RO"/>
        </w:rPr>
        <w:t>la obiectivul României de a avea statutul de furnizor regional de securitate energetică</w:t>
      </w:r>
      <w:r w:rsidRPr="007C266E">
        <w:rPr>
          <w:rFonts w:ascii="Times New Roman" w:hAnsi="Times New Roman" w:cs="Times New Roman"/>
          <w:sz w:val="23"/>
          <w:szCs w:val="23"/>
          <w:lang w:val="ro-RO"/>
        </w:rPr>
        <w:t>.</w:t>
      </w:r>
    </w:p>
    <w:p w14:paraId="3D632E18" w14:textId="77777777" w:rsidR="007C266E" w:rsidRPr="007C266E" w:rsidRDefault="007C266E" w:rsidP="00A86877">
      <w:pPr>
        <w:spacing w:after="0" w:line="240" w:lineRule="auto"/>
        <w:jc w:val="both"/>
        <w:rPr>
          <w:rFonts w:ascii="Times New Roman" w:hAnsi="Times New Roman" w:cs="Times New Roman"/>
          <w:sz w:val="23"/>
          <w:szCs w:val="23"/>
          <w:lang w:val="ro-RO"/>
        </w:rPr>
      </w:pPr>
    </w:p>
    <w:p w14:paraId="65EF1960" w14:textId="77777777" w:rsidR="003C5833" w:rsidRPr="007C266E" w:rsidRDefault="003C5833" w:rsidP="00A86877">
      <w:pPr>
        <w:spacing w:after="0" w:line="240" w:lineRule="auto"/>
        <w:jc w:val="both"/>
        <w:rPr>
          <w:rFonts w:ascii="Times New Roman" w:hAnsi="Times New Roman" w:cs="Times New Roman"/>
          <w:noProof/>
          <w:sz w:val="23"/>
          <w:szCs w:val="23"/>
          <w:lang w:val="ro-RO"/>
        </w:rPr>
      </w:pPr>
    </w:p>
    <w:p w14:paraId="20AD6FEA" w14:textId="77777777" w:rsidR="00A27943" w:rsidRPr="007C266E" w:rsidRDefault="00C43C61" w:rsidP="002F5C0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În </w:t>
      </w:r>
      <w:r w:rsidR="00CC6BE7" w:rsidRPr="007C266E">
        <w:rPr>
          <w:rFonts w:ascii="Times New Roman" w:hAnsi="Times New Roman" w:cs="Times New Roman"/>
          <w:b/>
          <w:sz w:val="23"/>
          <w:szCs w:val="23"/>
          <w:lang w:val="ro-RO"/>
        </w:rPr>
        <w:t xml:space="preserve">acest context, există premisele </w:t>
      </w:r>
      <w:r w:rsidRPr="007C266E">
        <w:rPr>
          <w:rFonts w:ascii="Times New Roman" w:hAnsi="Times New Roman" w:cs="Times New Roman"/>
          <w:b/>
          <w:sz w:val="23"/>
          <w:szCs w:val="23"/>
          <w:lang w:val="ro-RO"/>
        </w:rPr>
        <w:t xml:space="preserve">ca, prin dezvoltarea sectorului energetic, ținând cont de disponibilitatea resurselor și de stabilitatea dată de </w:t>
      </w:r>
      <w:r w:rsidR="00E746F4" w:rsidRPr="007C266E">
        <w:rPr>
          <w:rFonts w:ascii="Times New Roman" w:hAnsi="Times New Roman" w:cs="Times New Roman"/>
          <w:b/>
          <w:sz w:val="23"/>
          <w:szCs w:val="23"/>
          <w:lang w:val="ro-RO"/>
        </w:rPr>
        <w:t xml:space="preserve">tranziția eficientă către decarbonare și </w:t>
      </w:r>
      <w:r w:rsidRPr="007C266E">
        <w:rPr>
          <w:rFonts w:ascii="Times New Roman" w:hAnsi="Times New Roman" w:cs="Times New Roman"/>
          <w:b/>
          <w:sz w:val="23"/>
          <w:szCs w:val="23"/>
          <w:lang w:val="ro-RO"/>
        </w:rPr>
        <w:t xml:space="preserve">maturitatea tehnologiilor </w:t>
      </w:r>
      <w:r w:rsidR="00E15A69" w:rsidRPr="007C266E">
        <w:rPr>
          <w:rFonts w:ascii="Times New Roman" w:hAnsi="Times New Roman" w:cs="Times New Roman"/>
          <w:b/>
          <w:sz w:val="23"/>
          <w:szCs w:val="23"/>
          <w:lang w:val="ro-RO"/>
        </w:rPr>
        <w:t>noi</w:t>
      </w:r>
      <w:r w:rsidRPr="007C266E">
        <w:rPr>
          <w:rFonts w:ascii="Times New Roman" w:hAnsi="Times New Roman" w:cs="Times New Roman"/>
          <w:b/>
          <w:sz w:val="23"/>
          <w:szCs w:val="23"/>
          <w:lang w:val="ro-RO"/>
        </w:rPr>
        <w:t>, România să își consolideze statutul de furnizor regi</w:t>
      </w:r>
      <w:r w:rsidR="00152BF5" w:rsidRPr="007C266E">
        <w:rPr>
          <w:rFonts w:ascii="Times New Roman" w:hAnsi="Times New Roman" w:cs="Times New Roman"/>
          <w:b/>
          <w:sz w:val="23"/>
          <w:szCs w:val="23"/>
          <w:lang w:val="ro-RO"/>
        </w:rPr>
        <w:t xml:space="preserve">onal de securitate energetică. </w:t>
      </w:r>
    </w:p>
    <w:p w14:paraId="38AB1709" w14:textId="77777777" w:rsidR="007F20EF" w:rsidRPr="007C266E" w:rsidRDefault="007F20EF" w:rsidP="0038022C">
      <w:pPr>
        <w:pStyle w:val="Heading2"/>
        <w:spacing w:line="240" w:lineRule="auto"/>
        <w:rPr>
          <w:rFonts w:ascii="Times New Roman" w:hAnsi="Times New Roman" w:cs="Times New Roman"/>
          <w:sz w:val="23"/>
          <w:szCs w:val="23"/>
          <w:lang w:val="ro-RO"/>
        </w:rPr>
      </w:pPr>
      <w:bookmarkStart w:id="13" w:name="_Toc44400861"/>
      <w:r w:rsidRPr="007C266E">
        <w:rPr>
          <w:rFonts w:ascii="Times New Roman" w:hAnsi="Times New Roman" w:cs="Times New Roman"/>
          <w:sz w:val="23"/>
          <w:szCs w:val="23"/>
          <w:lang w:val="ro-RO"/>
        </w:rPr>
        <w:t>II.8.</w:t>
      </w:r>
      <w:r w:rsidRPr="007C266E">
        <w:rPr>
          <w:rFonts w:ascii="Times New Roman" w:hAnsi="Times New Roman" w:cs="Times New Roman"/>
          <w:sz w:val="23"/>
          <w:szCs w:val="23"/>
          <w:lang w:val="ro-RO"/>
        </w:rPr>
        <w:tab/>
        <w:t>Creșterea aportului energetic al României pe piețele regionale și europene</w:t>
      </w:r>
      <w:bookmarkEnd w:id="13"/>
      <w:r w:rsidRPr="007C266E">
        <w:rPr>
          <w:rFonts w:ascii="Times New Roman" w:hAnsi="Times New Roman" w:cs="Times New Roman"/>
          <w:sz w:val="23"/>
          <w:szCs w:val="23"/>
          <w:lang w:val="ro-RO"/>
        </w:rPr>
        <w:t xml:space="preserve"> </w:t>
      </w:r>
    </w:p>
    <w:p w14:paraId="169F827F" w14:textId="77777777" w:rsidR="007F20EF" w:rsidRPr="007C266E" w:rsidRDefault="007F20EF" w:rsidP="006E1D2D">
      <w:pPr>
        <w:spacing w:after="0" w:line="240" w:lineRule="auto"/>
        <w:jc w:val="both"/>
        <w:rPr>
          <w:rFonts w:ascii="Times New Roman" w:hAnsi="Times New Roman" w:cs="Times New Roman"/>
          <w:sz w:val="23"/>
          <w:szCs w:val="23"/>
          <w:lang w:val="ro-RO"/>
        </w:rPr>
      </w:pPr>
    </w:p>
    <w:p w14:paraId="005E0DE5" w14:textId="77777777" w:rsidR="007F20EF" w:rsidRPr="007C266E" w:rsidRDefault="007F20EF" w:rsidP="0038022C">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Obiectivul exprimă viziunea de dezvoltare a României în contextul regional și european și dorința de a fi un actor principal al UE în acest domeniu.</w:t>
      </w:r>
    </w:p>
    <w:p w14:paraId="3347AFCE" w14:textId="77777777" w:rsidR="007F20EF" w:rsidRPr="007C266E" w:rsidRDefault="007F20EF" w:rsidP="00A86877">
      <w:pPr>
        <w:spacing w:after="0" w:line="240" w:lineRule="auto"/>
        <w:jc w:val="both"/>
        <w:rPr>
          <w:rFonts w:ascii="Times New Roman" w:hAnsi="Times New Roman" w:cs="Times New Roman"/>
          <w:sz w:val="23"/>
          <w:szCs w:val="23"/>
          <w:lang w:val="ro-RO"/>
        </w:rPr>
      </w:pPr>
    </w:p>
    <w:p w14:paraId="603052B8" w14:textId="77777777" w:rsidR="007F20EF" w:rsidRPr="007C266E" w:rsidRDefault="007F20EF"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România participă la un amplu proces de integrare a piețelor de energie la nivelul UE, având ca efect concurența tot mai deschisă pe piețele energetice. </w:t>
      </w:r>
    </w:p>
    <w:p w14:paraId="38E23FC0" w14:textId="77777777" w:rsidR="007F20EF" w:rsidRDefault="007F20EF"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România are resursele energetice primare necesare</w:t>
      </w:r>
      <w:r w:rsidR="00E87290"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acestea trebuie valorificate coerent, în condiții de rentabilitate, </w:t>
      </w:r>
      <w:r w:rsidR="00EB5CE4" w:rsidRPr="007C266E">
        <w:rPr>
          <w:rFonts w:ascii="Times New Roman" w:hAnsi="Times New Roman" w:cs="Times New Roman"/>
          <w:sz w:val="23"/>
          <w:szCs w:val="23"/>
          <w:lang w:val="ro-RO"/>
        </w:rPr>
        <w:t xml:space="preserve">cu respectarea condițiilor de mediu, </w:t>
      </w:r>
      <w:r w:rsidR="00164F81" w:rsidRPr="007C266E">
        <w:rPr>
          <w:rFonts w:ascii="Times New Roman" w:hAnsi="Times New Roman" w:cs="Times New Roman"/>
          <w:sz w:val="23"/>
          <w:szCs w:val="23"/>
          <w:lang w:val="ro-RO"/>
        </w:rPr>
        <w:t xml:space="preserve">cu efecte benefice pentru economia țării, </w:t>
      </w:r>
      <w:r w:rsidRPr="007C266E">
        <w:rPr>
          <w:rFonts w:ascii="Times New Roman" w:hAnsi="Times New Roman" w:cs="Times New Roman"/>
          <w:sz w:val="23"/>
          <w:szCs w:val="23"/>
          <w:lang w:val="ro-RO"/>
        </w:rPr>
        <w:t>concomitent cu creșterea gradului de interconectivitate.</w:t>
      </w:r>
    </w:p>
    <w:p w14:paraId="1FA5703B" w14:textId="77777777" w:rsidR="00280D40" w:rsidRDefault="00280D40" w:rsidP="009E5804">
      <w:pPr>
        <w:spacing w:after="0" w:line="240" w:lineRule="auto"/>
        <w:jc w:val="both"/>
        <w:rPr>
          <w:rFonts w:ascii="Times New Roman" w:hAnsi="Times New Roman" w:cs="Times New Roman"/>
          <w:sz w:val="23"/>
          <w:szCs w:val="23"/>
          <w:lang w:val="ro-RO"/>
        </w:rPr>
      </w:pPr>
    </w:p>
    <w:p w14:paraId="28CF3C8F" w14:textId="77777777" w:rsidR="00280D40" w:rsidRDefault="00280D40" w:rsidP="009E5804">
      <w:pPr>
        <w:spacing w:after="0" w:line="240" w:lineRule="auto"/>
        <w:jc w:val="both"/>
        <w:rPr>
          <w:rFonts w:ascii="Times New Roman" w:hAnsi="Times New Roman" w:cs="Times New Roman"/>
          <w:sz w:val="23"/>
          <w:szCs w:val="23"/>
          <w:lang w:val="ro-RO"/>
        </w:rPr>
      </w:pPr>
    </w:p>
    <w:p w14:paraId="31530B79" w14:textId="77777777" w:rsidR="00280D40" w:rsidRDefault="00280D40" w:rsidP="009E5804">
      <w:pPr>
        <w:spacing w:after="0" w:line="240" w:lineRule="auto"/>
        <w:jc w:val="both"/>
        <w:rPr>
          <w:rFonts w:ascii="Times New Roman" w:hAnsi="Times New Roman" w:cs="Times New Roman"/>
          <w:sz w:val="23"/>
          <w:szCs w:val="23"/>
          <w:lang w:val="ro-RO"/>
        </w:rPr>
      </w:pPr>
    </w:p>
    <w:p w14:paraId="59EBEC69" w14:textId="77777777" w:rsidR="00280D40" w:rsidRDefault="00280D40" w:rsidP="009E5804">
      <w:pPr>
        <w:spacing w:after="0" w:line="240" w:lineRule="auto"/>
        <w:jc w:val="both"/>
        <w:rPr>
          <w:rFonts w:ascii="Times New Roman" w:hAnsi="Times New Roman" w:cs="Times New Roman"/>
          <w:sz w:val="23"/>
          <w:szCs w:val="23"/>
          <w:lang w:val="ro-RO"/>
        </w:rPr>
      </w:pPr>
    </w:p>
    <w:p w14:paraId="4AD94E9D" w14:textId="77777777" w:rsidR="00280D40" w:rsidRDefault="00280D40" w:rsidP="009E5804">
      <w:pPr>
        <w:spacing w:after="0" w:line="240" w:lineRule="auto"/>
        <w:jc w:val="both"/>
        <w:rPr>
          <w:rFonts w:ascii="Times New Roman" w:hAnsi="Times New Roman" w:cs="Times New Roman"/>
          <w:sz w:val="23"/>
          <w:szCs w:val="23"/>
          <w:lang w:val="ro-RO"/>
        </w:rPr>
      </w:pPr>
    </w:p>
    <w:p w14:paraId="0DA9A80B" w14:textId="77777777" w:rsidR="00280D40" w:rsidRDefault="00280D40" w:rsidP="009E5804">
      <w:pPr>
        <w:spacing w:after="0" w:line="240" w:lineRule="auto"/>
        <w:jc w:val="both"/>
        <w:rPr>
          <w:rFonts w:ascii="Times New Roman" w:hAnsi="Times New Roman" w:cs="Times New Roman"/>
          <w:sz w:val="23"/>
          <w:szCs w:val="23"/>
          <w:lang w:val="ro-RO"/>
        </w:rPr>
      </w:pPr>
    </w:p>
    <w:p w14:paraId="40A05AA7" w14:textId="77777777" w:rsidR="00280D40" w:rsidRDefault="00280D40" w:rsidP="009E5804">
      <w:pPr>
        <w:spacing w:after="0" w:line="240" w:lineRule="auto"/>
        <w:jc w:val="both"/>
        <w:rPr>
          <w:rFonts w:ascii="Times New Roman" w:hAnsi="Times New Roman" w:cs="Times New Roman"/>
          <w:sz w:val="23"/>
          <w:szCs w:val="23"/>
          <w:lang w:val="ro-RO"/>
        </w:rPr>
      </w:pPr>
    </w:p>
    <w:p w14:paraId="62C29C65" w14:textId="77777777" w:rsidR="00280D40" w:rsidRDefault="00280D40" w:rsidP="009E5804">
      <w:pPr>
        <w:spacing w:after="0" w:line="240" w:lineRule="auto"/>
        <w:jc w:val="both"/>
        <w:rPr>
          <w:rFonts w:ascii="Times New Roman" w:hAnsi="Times New Roman" w:cs="Times New Roman"/>
          <w:sz w:val="23"/>
          <w:szCs w:val="23"/>
          <w:lang w:val="ro-RO"/>
        </w:rPr>
      </w:pPr>
    </w:p>
    <w:p w14:paraId="5EF6C5D3" w14:textId="77777777" w:rsidR="00280D40" w:rsidRDefault="00280D40" w:rsidP="009E5804">
      <w:pPr>
        <w:spacing w:after="0" w:line="240" w:lineRule="auto"/>
        <w:jc w:val="both"/>
        <w:rPr>
          <w:rFonts w:ascii="Times New Roman" w:hAnsi="Times New Roman" w:cs="Times New Roman"/>
          <w:sz w:val="23"/>
          <w:szCs w:val="23"/>
          <w:lang w:val="ro-RO"/>
        </w:rPr>
      </w:pPr>
    </w:p>
    <w:p w14:paraId="3C102883" w14:textId="77777777" w:rsidR="00280D40" w:rsidRPr="007C266E" w:rsidRDefault="00280D40" w:rsidP="009E5804">
      <w:pPr>
        <w:spacing w:after="0" w:line="240" w:lineRule="auto"/>
        <w:jc w:val="both"/>
        <w:rPr>
          <w:rFonts w:ascii="Times New Roman" w:hAnsi="Times New Roman" w:cs="Times New Roman"/>
          <w:sz w:val="23"/>
          <w:szCs w:val="23"/>
          <w:lang w:val="ro-RO"/>
        </w:rPr>
      </w:pPr>
    </w:p>
    <w:p w14:paraId="5AB47999" w14:textId="77777777" w:rsidR="007F20EF" w:rsidRPr="007C266E" w:rsidRDefault="007F20EF" w:rsidP="009E5804">
      <w:pPr>
        <w:spacing w:after="0" w:line="240" w:lineRule="auto"/>
        <w:jc w:val="both"/>
        <w:rPr>
          <w:rFonts w:ascii="Times New Roman" w:hAnsi="Times New Roman" w:cs="Times New Roman"/>
          <w:sz w:val="23"/>
          <w:szCs w:val="23"/>
          <w:lang w:val="ro-RO"/>
        </w:rPr>
      </w:pPr>
    </w:p>
    <w:p w14:paraId="029FED8F" w14:textId="77777777" w:rsidR="00677AD8" w:rsidRPr="007C266E" w:rsidRDefault="00677AD8" w:rsidP="0038022C">
      <w:pPr>
        <w:spacing w:line="240" w:lineRule="auto"/>
        <w:rPr>
          <w:rFonts w:ascii="Times New Roman" w:hAnsi="Times New Roman" w:cs="Times New Roman"/>
          <w:sz w:val="23"/>
          <w:szCs w:val="23"/>
          <w:lang w:val="ro-RO"/>
        </w:rPr>
        <w:sectPr w:rsidR="00677AD8" w:rsidRPr="007C266E" w:rsidSect="004477EF">
          <w:type w:val="continuous"/>
          <w:pgSz w:w="12240" w:h="15840"/>
          <w:pgMar w:top="1440" w:right="1440" w:bottom="1350" w:left="1440" w:header="720" w:footer="720" w:gutter="0"/>
          <w:cols w:num="2" w:space="720"/>
          <w:docGrid w:linePitch="360"/>
        </w:sectPr>
      </w:pPr>
    </w:p>
    <w:p w14:paraId="104AB767" w14:textId="77777777" w:rsidR="00280D40" w:rsidRDefault="00280D40" w:rsidP="00280D40">
      <w:pPr>
        <w:pStyle w:val="Heading1"/>
        <w:spacing w:line="240" w:lineRule="auto"/>
        <w:ind w:left="1288"/>
        <w:rPr>
          <w:rFonts w:ascii="Times New Roman" w:hAnsi="Times New Roman" w:cs="Times New Roman"/>
          <w:sz w:val="23"/>
          <w:szCs w:val="23"/>
          <w:lang w:val="ro-RO"/>
        </w:rPr>
      </w:pPr>
      <w:bookmarkStart w:id="14" w:name="_Toc34074029"/>
      <w:bookmarkStart w:id="15" w:name="_Toc34175353"/>
      <w:bookmarkStart w:id="16" w:name="_Toc34074031"/>
      <w:bookmarkStart w:id="17" w:name="_Toc34175355"/>
      <w:bookmarkStart w:id="18" w:name="_Toc34074032"/>
      <w:bookmarkStart w:id="19" w:name="_Toc34175356"/>
      <w:bookmarkStart w:id="20" w:name="_Toc34074033"/>
      <w:bookmarkStart w:id="21" w:name="_Toc34175357"/>
      <w:bookmarkStart w:id="22" w:name="_Toc34074034"/>
      <w:bookmarkStart w:id="23" w:name="_Toc34175358"/>
      <w:bookmarkStart w:id="24" w:name="_Toc34074035"/>
      <w:bookmarkStart w:id="25" w:name="_Toc34175359"/>
      <w:bookmarkStart w:id="26" w:name="_Toc34074036"/>
      <w:bookmarkStart w:id="27" w:name="_Toc34175360"/>
      <w:bookmarkStart w:id="28" w:name="_Toc34074037"/>
      <w:bookmarkStart w:id="29" w:name="_Toc34175361"/>
      <w:bookmarkStart w:id="30" w:name="_Toc444008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2EF02E7" w14:textId="77777777" w:rsidR="00280D40" w:rsidRPr="00280D40" w:rsidRDefault="00280D40" w:rsidP="00280D40">
      <w:pPr>
        <w:rPr>
          <w:lang w:val="ro-RO"/>
        </w:rPr>
      </w:pPr>
    </w:p>
    <w:p w14:paraId="4C692838" w14:textId="0A887CE9" w:rsidR="00860BFD" w:rsidRPr="00280D40" w:rsidRDefault="00C43C61" w:rsidP="00280D40">
      <w:pPr>
        <w:pStyle w:val="Heading1"/>
        <w:numPr>
          <w:ilvl w:val="0"/>
          <w:numId w:val="7"/>
        </w:numPr>
        <w:spacing w:line="240" w:lineRule="auto"/>
        <w:rPr>
          <w:rFonts w:ascii="Times New Roman" w:hAnsi="Times New Roman" w:cs="Times New Roman"/>
          <w:sz w:val="23"/>
          <w:szCs w:val="23"/>
          <w:lang w:val="ro-RO"/>
        </w:rPr>
        <w:sectPr w:rsidR="00860BFD" w:rsidRPr="00280D40" w:rsidSect="0089425F">
          <w:type w:val="continuous"/>
          <w:pgSz w:w="12240" w:h="15840"/>
          <w:pgMar w:top="1440" w:right="1440" w:bottom="1440" w:left="1440" w:header="720" w:footer="720" w:gutter="0"/>
          <w:cols w:space="720"/>
          <w:docGrid w:linePitch="360"/>
        </w:sectPr>
      </w:pPr>
      <w:r w:rsidRPr="00280D40">
        <w:rPr>
          <w:rFonts w:ascii="Times New Roman" w:hAnsi="Times New Roman" w:cs="Times New Roman"/>
          <w:sz w:val="23"/>
          <w:szCs w:val="23"/>
          <w:lang w:val="ro-RO"/>
        </w:rPr>
        <w:lastRenderedPageBreak/>
        <w:t xml:space="preserve">PROGRAMUL DE INVESTIȚII </w:t>
      </w:r>
      <w:r w:rsidR="006C23A6" w:rsidRPr="00280D40">
        <w:rPr>
          <w:rFonts w:ascii="Times New Roman" w:hAnsi="Times New Roman" w:cs="Times New Roman"/>
          <w:sz w:val="23"/>
          <w:szCs w:val="23"/>
          <w:lang w:val="ro-RO"/>
        </w:rPr>
        <w:t>PRIORITARE</w:t>
      </w:r>
      <w:bookmarkEnd w:id="30"/>
    </w:p>
    <w:p w14:paraId="15618937" w14:textId="77777777" w:rsidR="00280D40" w:rsidRDefault="00280D40" w:rsidP="009E5804">
      <w:pPr>
        <w:spacing w:after="0" w:line="240" w:lineRule="auto"/>
        <w:jc w:val="both"/>
        <w:rPr>
          <w:rFonts w:ascii="Times New Roman" w:hAnsi="Times New Roman" w:cs="Times New Roman"/>
          <w:sz w:val="23"/>
          <w:szCs w:val="23"/>
          <w:lang w:val="ro-RO"/>
        </w:rPr>
      </w:pPr>
    </w:p>
    <w:p w14:paraId="59D9B6E8" w14:textId="77777777" w:rsidR="00280D40" w:rsidRPr="007C266E" w:rsidRDefault="00280D40" w:rsidP="009E5804">
      <w:pPr>
        <w:spacing w:after="0" w:line="240" w:lineRule="auto"/>
        <w:jc w:val="both"/>
        <w:rPr>
          <w:rFonts w:ascii="Times New Roman" w:hAnsi="Times New Roman" w:cs="Times New Roman"/>
          <w:sz w:val="23"/>
          <w:szCs w:val="23"/>
          <w:lang w:val="ro-RO"/>
        </w:rPr>
        <w:sectPr w:rsidR="00280D40" w:rsidRPr="007C266E" w:rsidSect="0089425F">
          <w:type w:val="continuous"/>
          <w:pgSz w:w="12240" w:h="15840"/>
          <w:pgMar w:top="1440" w:right="1440" w:bottom="1440" w:left="1440" w:header="720" w:footer="720" w:gutter="0"/>
          <w:cols w:space="720"/>
          <w:docGrid w:linePitch="360"/>
        </w:sectPr>
      </w:pPr>
    </w:p>
    <w:p w14:paraId="2FB9DED4" w14:textId="31D5E6B1" w:rsidR="00F871B2" w:rsidRPr="007C266E" w:rsidRDefault="00F871B2" w:rsidP="009E5804">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 xml:space="preserve">În contextul pachetului legislativ </w:t>
      </w:r>
      <w:r w:rsidRPr="007C266E">
        <w:rPr>
          <w:rFonts w:ascii="Times New Roman" w:hAnsi="Times New Roman" w:cs="Times New Roman"/>
          <w:i/>
          <w:sz w:val="23"/>
          <w:szCs w:val="23"/>
          <w:lang w:val="ro-RO"/>
        </w:rPr>
        <w:t>Energie curată pentru</w:t>
      </w:r>
      <w:r w:rsidR="002644F6" w:rsidRPr="007C266E">
        <w:rPr>
          <w:rFonts w:ascii="Times New Roman" w:hAnsi="Times New Roman" w:cs="Times New Roman"/>
          <w:i/>
          <w:sz w:val="23"/>
          <w:szCs w:val="23"/>
          <w:lang w:val="ro-RO"/>
        </w:rPr>
        <w:t xml:space="preserve"> toț</w:t>
      </w:r>
      <w:r w:rsidRPr="007C266E">
        <w:rPr>
          <w:rFonts w:ascii="Times New Roman" w:hAnsi="Times New Roman" w:cs="Times New Roman"/>
          <w:i/>
          <w:sz w:val="23"/>
          <w:szCs w:val="23"/>
          <w:lang w:val="ro-RO"/>
        </w:rPr>
        <w:t>i europenii</w:t>
      </w:r>
      <w:r w:rsidRPr="007C266E">
        <w:rPr>
          <w:rFonts w:ascii="Times New Roman" w:hAnsi="Times New Roman" w:cs="Times New Roman"/>
          <w:sz w:val="23"/>
          <w:szCs w:val="23"/>
          <w:lang w:val="ro-RO"/>
        </w:rPr>
        <w:t xml:space="preserve"> și a </w:t>
      </w:r>
      <w:r w:rsidRPr="007C266E">
        <w:rPr>
          <w:rFonts w:ascii="Times New Roman" w:hAnsi="Times New Roman" w:cs="Times New Roman"/>
          <w:i/>
          <w:sz w:val="23"/>
          <w:szCs w:val="23"/>
          <w:lang w:val="ro-RO"/>
        </w:rPr>
        <w:t>Pactului Ecologic European</w:t>
      </w:r>
      <w:r w:rsidRPr="007C266E">
        <w:rPr>
          <w:rFonts w:ascii="Times New Roman" w:hAnsi="Times New Roman" w:cs="Times New Roman"/>
          <w:sz w:val="23"/>
          <w:szCs w:val="23"/>
          <w:lang w:val="ro-RO"/>
        </w:rPr>
        <w:t xml:space="preserve">, care impun transformarea sectorului energetic </w:t>
      </w:r>
      <w:r w:rsidR="00597699">
        <w:rPr>
          <w:rFonts w:ascii="Times New Roman" w:hAnsi="Times New Roman" w:cs="Times New Roman"/>
          <w:sz w:val="23"/>
          <w:szCs w:val="23"/>
          <w:lang w:val="ro-RO"/>
        </w:rPr>
        <w:t>prin</w:t>
      </w:r>
      <w:r w:rsidRPr="007C266E">
        <w:rPr>
          <w:rFonts w:ascii="Times New Roman" w:hAnsi="Times New Roman" w:cs="Times New Roman"/>
          <w:sz w:val="23"/>
          <w:szCs w:val="23"/>
          <w:lang w:val="ro-RO"/>
        </w:rPr>
        <w:t xml:space="preserve"> decarbonare, bazat pe tehnologii cura</w:t>
      </w:r>
      <w:r w:rsidR="00E87290" w:rsidRPr="007C266E">
        <w:rPr>
          <w:rFonts w:ascii="Times New Roman" w:hAnsi="Times New Roman" w:cs="Times New Roman"/>
          <w:sz w:val="23"/>
          <w:szCs w:val="23"/>
          <w:lang w:val="ro-RO"/>
        </w:rPr>
        <w:t>te, inovatoare, care să facă faț</w:t>
      </w:r>
      <w:r w:rsidRPr="007C266E">
        <w:rPr>
          <w:rFonts w:ascii="Times New Roman" w:hAnsi="Times New Roman" w:cs="Times New Roman"/>
          <w:sz w:val="23"/>
          <w:szCs w:val="23"/>
          <w:lang w:val="ro-RO"/>
        </w:rPr>
        <w:t>ă concurenței pe o piață de electricitate integrată, se impune a</w:t>
      </w:r>
      <w:r w:rsidR="00597699">
        <w:rPr>
          <w:rFonts w:ascii="Times New Roman" w:hAnsi="Times New Roman" w:cs="Times New Roman"/>
          <w:sz w:val="23"/>
          <w:szCs w:val="23"/>
          <w:lang w:val="ro-RO"/>
        </w:rPr>
        <w:t>daptarea</w:t>
      </w:r>
      <w:r w:rsidRPr="007C266E">
        <w:rPr>
          <w:rFonts w:ascii="Times New Roman" w:hAnsi="Times New Roman" w:cs="Times New Roman"/>
          <w:sz w:val="23"/>
          <w:szCs w:val="23"/>
          <w:lang w:val="ro-RO"/>
        </w:rPr>
        <w:t xml:space="preserve"> sectorului energetic din România la noile tendințe de dezvoltare.</w:t>
      </w:r>
    </w:p>
    <w:p w14:paraId="08A64A54" w14:textId="77777777" w:rsidR="00F871B2" w:rsidRPr="007C266E" w:rsidRDefault="00F871B2" w:rsidP="009E5804">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Aceasta presupune un volum investițional </w:t>
      </w:r>
      <w:r w:rsidR="00F24F50" w:rsidRPr="007C266E">
        <w:rPr>
          <w:rFonts w:ascii="Times New Roman" w:hAnsi="Times New Roman" w:cs="Times New Roman"/>
          <w:sz w:val="23"/>
          <w:szCs w:val="23"/>
          <w:lang w:val="ro-RO"/>
        </w:rPr>
        <w:t xml:space="preserve">semnificativ </w:t>
      </w:r>
      <w:r w:rsidRPr="007C266E">
        <w:rPr>
          <w:rFonts w:ascii="Times New Roman" w:hAnsi="Times New Roman" w:cs="Times New Roman"/>
          <w:sz w:val="23"/>
          <w:szCs w:val="23"/>
          <w:lang w:val="ro-RO"/>
        </w:rPr>
        <w:t>pe întreg lanțul tehnologic, de la producere</w:t>
      </w:r>
      <w:r w:rsidR="00F24F50"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 xml:space="preserve"> de electricitate, la rețele inteligente de transport și distribuție gaze naturale </w:t>
      </w:r>
      <w:r w:rsidR="0038022C"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i electricitate precum și la reformarea pieței de electricitate și gaze naturale care să facă față unui model nou</w:t>
      </w:r>
      <w:r w:rsidR="00F24F50" w:rsidRPr="007C266E">
        <w:rPr>
          <w:rFonts w:ascii="Times New Roman" w:hAnsi="Times New Roman" w:cs="Times New Roman"/>
          <w:sz w:val="23"/>
          <w:szCs w:val="23"/>
          <w:lang w:val="ro-RO"/>
        </w:rPr>
        <w:t xml:space="preserve"> de piață</w:t>
      </w:r>
      <w:r w:rsidRPr="007C266E">
        <w:rPr>
          <w:rFonts w:ascii="Times New Roman" w:hAnsi="Times New Roman" w:cs="Times New Roman"/>
          <w:sz w:val="23"/>
          <w:szCs w:val="23"/>
          <w:lang w:val="ro-RO"/>
        </w:rPr>
        <w:t>, bazat pe capacitați energetice eficiente, curate, flexibile și tehnologii inovatoare într-un mediu concurențial regional și european.</w:t>
      </w:r>
    </w:p>
    <w:p w14:paraId="6E7E2DCA" w14:textId="77777777" w:rsidR="00F871B2" w:rsidRPr="007C266E" w:rsidRDefault="00F871B2" w:rsidP="009E5804">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O caracteristică a sectorului de producere a energiei electrice </w:t>
      </w:r>
      <w:r w:rsidR="00F24F50" w:rsidRPr="007C266E">
        <w:rPr>
          <w:rFonts w:ascii="Times New Roman" w:hAnsi="Times New Roman" w:cs="Times New Roman"/>
          <w:sz w:val="23"/>
          <w:szCs w:val="23"/>
          <w:lang w:val="ro-RO"/>
        </w:rPr>
        <w:t xml:space="preserve">din România </w:t>
      </w:r>
      <w:r w:rsidRPr="007C266E">
        <w:rPr>
          <w:rFonts w:ascii="Times New Roman" w:hAnsi="Times New Roman" w:cs="Times New Roman"/>
          <w:sz w:val="23"/>
          <w:szCs w:val="23"/>
          <w:lang w:val="ro-RO"/>
        </w:rPr>
        <w:t>este existența companiilor monocombustibil, în cadrul cărora generarea de energie electrică se face pe baza unui singur tip de resursă primară, companiile de producere având costuri diferite de producție și cote de piață relativ echilibrate, iar prețul stabilit pe baza cererii și ofertei având o puternică influență dată de prețul marginal (al producătorului cu costul cel mai mare, respectiv al producatorului pe bază de cărbune).</w:t>
      </w:r>
    </w:p>
    <w:p w14:paraId="79AF7DD7" w14:textId="77777777" w:rsidR="00F871B2" w:rsidRPr="007C266E" w:rsidRDefault="00F871B2" w:rsidP="009E5804">
      <w:pPr>
        <w:spacing w:before="200" w:after="0" w:line="240" w:lineRule="auto"/>
        <w:jc w:val="both"/>
        <w:rPr>
          <w:rFonts w:ascii="Times New Roman" w:eastAsia="+mn-ea" w:hAnsi="Times New Roman" w:cs="Times New Roman"/>
          <w:kern w:val="24"/>
          <w:sz w:val="23"/>
          <w:szCs w:val="23"/>
          <w:lang w:val="ro-RO" w:eastAsia="en-GB"/>
        </w:rPr>
      </w:pPr>
      <w:r w:rsidRPr="007C266E">
        <w:rPr>
          <w:rFonts w:ascii="Times New Roman" w:eastAsia="+mn-ea" w:hAnsi="Times New Roman" w:cs="Times New Roman"/>
          <w:kern w:val="24"/>
          <w:sz w:val="23"/>
          <w:szCs w:val="23"/>
          <w:lang w:val="ro-RO" w:eastAsia="en-GB"/>
        </w:rPr>
        <w:t>De aceea, orientarea strategiei energetice și a Planului Na</w:t>
      </w:r>
      <w:r w:rsidR="00E15E34" w:rsidRPr="007C266E">
        <w:rPr>
          <w:rFonts w:ascii="Times New Roman" w:hAnsi="Times New Roman" w:cs="Times New Roman"/>
          <w:sz w:val="23"/>
          <w:szCs w:val="23"/>
          <w:lang w:val="ro-RO"/>
        </w:rPr>
        <w:t>ț</w:t>
      </w:r>
      <w:r w:rsidRPr="007C266E">
        <w:rPr>
          <w:rFonts w:ascii="Times New Roman" w:eastAsia="+mn-ea" w:hAnsi="Times New Roman" w:cs="Times New Roman"/>
          <w:kern w:val="24"/>
          <w:sz w:val="23"/>
          <w:szCs w:val="23"/>
          <w:lang w:val="ro-RO" w:eastAsia="en-GB"/>
        </w:rPr>
        <w:t>ional Integrat Energie Schimb</w:t>
      </w:r>
      <w:r w:rsidR="00E15E34" w:rsidRPr="007C266E">
        <w:rPr>
          <w:rFonts w:ascii="Times New Roman" w:hAnsi="Times New Roman" w:cs="Times New Roman"/>
          <w:sz w:val="23"/>
          <w:szCs w:val="23"/>
          <w:lang w:val="ro-RO"/>
        </w:rPr>
        <w:t>ă</w:t>
      </w:r>
      <w:r w:rsidRPr="007C266E">
        <w:rPr>
          <w:rFonts w:ascii="Times New Roman" w:eastAsia="+mn-ea" w:hAnsi="Times New Roman" w:cs="Times New Roman"/>
          <w:kern w:val="24"/>
          <w:sz w:val="23"/>
          <w:szCs w:val="23"/>
          <w:lang w:val="ro-RO" w:eastAsia="en-GB"/>
        </w:rPr>
        <w:t>ri Climatice</w:t>
      </w:r>
      <w:r w:rsidR="00F24F50" w:rsidRPr="007C266E">
        <w:rPr>
          <w:rFonts w:ascii="Times New Roman" w:eastAsia="+mn-ea" w:hAnsi="Times New Roman" w:cs="Times New Roman"/>
          <w:kern w:val="24"/>
          <w:sz w:val="23"/>
          <w:szCs w:val="23"/>
          <w:lang w:val="ro-RO" w:eastAsia="en-GB"/>
        </w:rPr>
        <w:t>,</w:t>
      </w:r>
      <w:r w:rsidRPr="007C266E">
        <w:rPr>
          <w:rFonts w:ascii="Times New Roman" w:eastAsia="+mn-ea" w:hAnsi="Times New Roman" w:cs="Times New Roman"/>
          <w:kern w:val="24"/>
          <w:sz w:val="23"/>
          <w:szCs w:val="23"/>
          <w:lang w:val="ro-RO" w:eastAsia="en-GB"/>
        </w:rPr>
        <w:t xml:space="preserve"> este către diversificarea mix-ului </w:t>
      </w:r>
      <w:r w:rsidR="00EE32C1" w:rsidRPr="007C266E">
        <w:rPr>
          <w:rFonts w:ascii="Times New Roman" w:eastAsia="+mn-ea" w:hAnsi="Times New Roman" w:cs="Times New Roman"/>
          <w:kern w:val="24"/>
          <w:sz w:val="23"/>
          <w:szCs w:val="23"/>
          <w:lang w:val="ro-RO" w:eastAsia="en-GB"/>
        </w:rPr>
        <w:t xml:space="preserve">tehnologic </w:t>
      </w:r>
      <w:r w:rsidRPr="007C266E">
        <w:rPr>
          <w:rFonts w:ascii="Times New Roman" w:eastAsia="+mn-ea" w:hAnsi="Times New Roman" w:cs="Times New Roman"/>
          <w:kern w:val="24"/>
          <w:sz w:val="23"/>
          <w:szCs w:val="23"/>
          <w:lang w:val="ro-RO" w:eastAsia="en-GB"/>
        </w:rPr>
        <w:t>al companiilor, astfel încâ</w:t>
      </w:r>
      <w:r w:rsidR="00F24F50" w:rsidRPr="007C266E">
        <w:rPr>
          <w:rFonts w:ascii="Times New Roman" w:eastAsia="+mn-ea" w:hAnsi="Times New Roman" w:cs="Times New Roman"/>
          <w:kern w:val="24"/>
          <w:sz w:val="23"/>
          <w:szCs w:val="23"/>
          <w:lang w:val="ro-RO" w:eastAsia="en-GB"/>
        </w:rPr>
        <w:t>t acestea s</w:t>
      </w:r>
      <w:r w:rsidR="0038022C" w:rsidRPr="007C266E">
        <w:rPr>
          <w:rFonts w:ascii="Times New Roman" w:eastAsia="+mn-ea" w:hAnsi="Times New Roman" w:cs="Times New Roman"/>
          <w:kern w:val="24"/>
          <w:sz w:val="23"/>
          <w:szCs w:val="23"/>
          <w:lang w:val="ro-RO" w:eastAsia="en-GB"/>
        </w:rPr>
        <w:t>ă</w:t>
      </w:r>
      <w:r w:rsidR="00F24F50" w:rsidRPr="007C266E">
        <w:rPr>
          <w:rFonts w:ascii="Times New Roman" w:eastAsia="+mn-ea" w:hAnsi="Times New Roman" w:cs="Times New Roman"/>
          <w:kern w:val="24"/>
          <w:sz w:val="23"/>
          <w:szCs w:val="23"/>
          <w:lang w:val="ro-RO" w:eastAsia="en-GB"/>
        </w:rPr>
        <w:t xml:space="preserve"> devină competitive și s</w:t>
      </w:r>
      <w:r w:rsidRPr="007C266E">
        <w:rPr>
          <w:rFonts w:ascii="Times New Roman" w:eastAsia="+mn-ea" w:hAnsi="Times New Roman" w:cs="Times New Roman"/>
          <w:kern w:val="24"/>
          <w:sz w:val="23"/>
          <w:szCs w:val="23"/>
          <w:lang w:val="ro-RO" w:eastAsia="en-GB"/>
        </w:rPr>
        <w:t xml:space="preserve">ă </w:t>
      </w:r>
      <w:r w:rsidR="00F24F50" w:rsidRPr="007C266E">
        <w:rPr>
          <w:rFonts w:ascii="Times New Roman" w:eastAsia="+mn-ea" w:hAnsi="Times New Roman" w:cs="Times New Roman"/>
          <w:kern w:val="24"/>
          <w:sz w:val="23"/>
          <w:szCs w:val="23"/>
          <w:lang w:val="ro-RO" w:eastAsia="en-GB"/>
        </w:rPr>
        <w:t xml:space="preserve">asigure </w:t>
      </w:r>
      <w:r w:rsidRPr="007C266E">
        <w:rPr>
          <w:rFonts w:ascii="Times New Roman" w:eastAsia="+mn-ea" w:hAnsi="Times New Roman" w:cs="Times New Roman"/>
          <w:kern w:val="24"/>
          <w:sz w:val="23"/>
          <w:szCs w:val="23"/>
          <w:lang w:val="ro-RO" w:eastAsia="en-GB"/>
        </w:rPr>
        <w:t>securit</w:t>
      </w:r>
      <w:r w:rsidR="00F24F50" w:rsidRPr="007C266E">
        <w:rPr>
          <w:rFonts w:ascii="Times New Roman" w:eastAsia="+mn-ea" w:hAnsi="Times New Roman" w:cs="Times New Roman"/>
          <w:kern w:val="24"/>
          <w:sz w:val="23"/>
          <w:szCs w:val="23"/>
          <w:lang w:val="ro-RO" w:eastAsia="en-GB"/>
        </w:rPr>
        <w:t xml:space="preserve">atea </w:t>
      </w:r>
      <w:r w:rsidRPr="007C266E">
        <w:rPr>
          <w:rFonts w:ascii="Times New Roman" w:eastAsia="+mn-ea" w:hAnsi="Times New Roman" w:cs="Times New Roman"/>
          <w:kern w:val="24"/>
          <w:sz w:val="23"/>
          <w:szCs w:val="23"/>
          <w:lang w:val="ro-RO" w:eastAsia="en-GB"/>
        </w:rPr>
        <w:t>energetic</w:t>
      </w:r>
      <w:r w:rsidR="00F24F50" w:rsidRPr="007C266E">
        <w:rPr>
          <w:rFonts w:ascii="Times New Roman" w:eastAsia="+mn-ea" w:hAnsi="Times New Roman" w:cs="Times New Roman"/>
          <w:kern w:val="24"/>
          <w:sz w:val="23"/>
          <w:szCs w:val="23"/>
          <w:lang w:val="ro-RO" w:eastAsia="en-GB"/>
        </w:rPr>
        <w:t>ă la nivel național și regional.</w:t>
      </w:r>
    </w:p>
    <w:p w14:paraId="5C7B8AD4" w14:textId="77777777" w:rsidR="00F24F50" w:rsidRPr="007C266E" w:rsidRDefault="00F24F50" w:rsidP="009E5804">
      <w:pPr>
        <w:spacing w:after="0" w:line="240" w:lineRule="auto"/>
        <w:jc w:val="both"/>
        <w:rPr>
          <w:rFonts w:ascii="Times New Roman" w:hAnsi="Times New Roman" w:cs="Times New Roman"/>
          <w:sz w:val="23"/>
          <w:szCs w:val="23"/>
          <w:lang w:val="ro-RO"/>
        </w:rPr>
      </w:pPr>
    </w:p>
    <w:p w14:paraId="0A89CC3F"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Conform viziunii și a celor </w:t>
      </w:r>
      <w:r w:rsidR="00527E96" w:rsidRPr="007C266E">
        <w:rPr>
          <w:rFonts w:ascii="Times New Roman" w:hAnsi="Times New Roman" w:cs="Times New Roman"/>
          <w:sz w:val="23"/>
          <w:szCs w:val="23"/>
          <w:lang w:val="ro-RO"/>
        </w:rPr>
        <w:t>opt</w:t>
      </w:r>
      <w:r w:rsidRPr="007C266E">
        <w:rPr>
          <w:rFonts w:ascii="Times New Roman" w:hAnsi="Times New Roman" w:cs="Times New Roman"/>
          <w:sz w:val="23"/>
          <w:szCs w:val="23"/>
          <w:lang w:val="ro-RO"/>
        </w:rPr>
        <w:t xml:space="preserve"> obiective fundamentale ale Strategiei Energetice, dezvoltarea sectorului energetic </w:t>
      </w:r>
      <w:r w:rsidR="00F24F50" w:rsidRPr="007C266E">
        <w:rPr>
          <w:rFonts w:ascii="Times New Roman" w:hAnsi="Times New Roman" w:cs="Times New Roman"/>
          <w:sz w:val="23"/>
          <w:szCs w:val="23"/>
          <w:lang w:val="ro-RO"/>
        </w:rPr>
        <w:t xml:space="preserve">în noul context </w:t>
      </w:r>
      <w:r w:rsidRPr="007C266E">
        <w:rPr>
          <w:rFonts w:ascii="Times New Roman" w:hAnsi="Times New Roman" w:cs="Times New Roman"/>
          <w:sz w:val="23"/>
          <w:szCs w:val="23"/>
          <w:lang w:val="ro-RO"/>
        </w:rPr>
        <w:t>este direct proporțională cu realizarea unor proiecte de investiţii</w:t>
      </w:r>
      <w:r w:rsidR="0053492D" w:rsidRPr="007C266E">
        <w:rPr>
          <w:rFonts w:ascii="Times New Roman" w:hAnsi="Times New Roman" w:cs="Times New Roman"/>
          <w:sz w:val="23"/>
          <w:szCs w:val="23"/>
          <w:lang w:val="ro-RO"/>
        </w:rPr>
        <w:t xml:space="preserve"> </w:t>
      </w:r>
      <w:r w:rsidR="00A0085E" w:rsidRPr="007C266E">
        <w:rPr>
          <w:rFonts w:ascii="Times New Roman" w:hAnsi="Times New Roman" w:cs="Times New Roman"/>
          <w:sz w:val="23"/>
          <w:szCs w:val="23"/>
          <w:lang w:val="ro-RO"/>
        </w:rPr>
        <w:t>prioritare</w:t>
      </w:r>
      <w:r w:rsidR="00F24F50" w:rsidRPr="007C266E">
        <w:rPr>
          <w:rFonts w:ascii="Times New Roman" w:hAnsi="Times New Roman" w:cs="Times New Roman"/>
          <w:sz w:val="23"/>
          <w:szCs w:val="23"/>
          <w:lang w:val="ro-RO"/>
        </w:rPr>
        <w:t xml:space="preserve">, care să conducă la adaptarea acestuia la noile cerințe </w:t>
      </w:r>
      <w:r w:rsidR="00F24F50" w:rsidRPr="007C266E">
        <w:rPr>
          <w:rFonts w:ascii="Times New Roman" w:hAnsi="Times New Roman" w:cs="Times New Roman"/>
          <w:sz w:val="23"/>
          <w:szCs w:val="23"/>
          <w:lang w:val="ro-RO"/>
        </w:rPr>
        <w:lastRenderedPageBreak/>
        <w:t>tehnologice și menținerea României ca furnizor de securitate energetică în zonă.</w:t>
      </w:r>
      <w:r w:rsidRPr="007C266E">
        <w:rPr>
          <w:rFonts w:ascii="Times New Roman" w:hAnsi="Times New Roman" w:cs="Times New Roman"/>
          <w:sz w:val="23"/>
          <w:szCs w:val="23"/>
          <w:lang w:val="ro-RO"/>
        </w:rPr>
        <w:t xml:space="preserve"> </w:t>
      </w:r>
    </w:p>
    <w:p w14:paraId="73928733" w14:textId="77777777" w:rsidR="00A44734" w:rsidRPr="007C266E" w:rsidRDefault="00A44734" w:rsidP="009E5804">
      <w:pPr>
        <w:spacing w:after="0" w:line="240" w:lineRule="auto"/>
        <w:jc w:val="both"/>
        <w:rPr>
          <w:rFonts w:ascii="Times New Roman" w:hAnsi="Times New Roman" w:cs="Times New Roman"/>
          <w:sz w:val="23"/>
          <w:szCs w:val="23"/>
          <w:lang w:val="ro-RO"/>
        </w:rPr>
      </w:pPr>
    </w:p>
    <w:p w14:paraId="5759B6B2" w14:textId="77777777" w:rsidR="00C43C61" w:rsidRPr="007C266E" w:rsidRDefault="00C43C61"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Aceste investiţii vor produce modificări de substanţă și vor dinamiza întregul sector. Investiţiile </w:t>
      </w:r>
      <w:r w:rsidR="00A0085E" w:rsidRPr="007C266E">
        <w:rPr>
          <w:rFonts w:ascii="Times New Roman" w:hAnsi="Times New Roman" w:cs="Times New Roman"/>
          <w:b/>
          <w:sz w:val="23"/>
          <w:szCs w:val="23"/>
          <w:lang w:val="ro-RO"/>
        </w:rPr>
        <w:t>prioritare</w:t>
      </w:r>
      <w:r w:rsidRPr="007C266E">
        <w:rPr>
          <w:rFonts w:ascii="Times New Roman" w:hAnsi="Times New Roman" w:cs="Times New Roman"/>
          <w:b/>
          <w:sz w:val="23"/>
          <w:szCs w:val="23"/>
          <w:lang w:val="ro-RO"/>
        </w:rPr>
        <w:t xml:space="preserve"> sunt repere </w:t>
      </w:r>
      <w:r w:rsidR="00A0085E" w:rsidRPr="007C266E">
        <w:rPr>
          <w:rFonts w:ascii="Times New Roman" w:hAnsi="Times New Roman" w:cs="Times New Roman"/>
          <w:b/>
          <w:sz w:val="23"/>
          <w:szCs w:val="23"/>
          <w:lang w:val="ro-RO"/>
        </w:rPr>
        <w:t xml:space="preserve">definitorii </w:t>
      </w:r>
      <w:r w:rsidRPr="007C266E">
        <w:rPr>
          <w:rFonts w:ascii="Times New Roman" w:hAnsi="Times New Roman" w:cs="Times New Roman"/>
          <w:b/>
          <w:sz w:val="23"/>
          <w:szCs w:val="23"/>
          <w:lang w:val="ro-RO"/>
        </w:rPr>
        <w:t xml:space="preserve">în programarea strategică; toate celelalte măsuri necesare pentru atingerea obiectivelor strategice vor fi operaționalizate plecând de la premisa realizării proiectelor de investiţii </w:t>
      </w:r>
      <w:r w:rsidR="00A0085E" w:rsidRPr="007C266E">
        <w:rPr>
          <w:rFonts w:ascii="Times New Roman" w:hAnsi="Times New Roman" w:cs="Times New Roman"/>
          <w:b/>
          <w:sz w:val="23"/>
          <w:szCs w:val="23"/>
          <w:lang w:val="ro-RO"/>
        </w:rPr>
        <w:t>prioritare</w:t>
      </w:r>
      <w:r w:rsidRPr="007C266E">
        <w:rPr>
          <w:rFonts w:ascii="Times New Roman" w:hAnsi="Times New Roman" w:cs="Times New Roman"/>
          <w:b/>
          <w:sz w:val="23"/>
          <w:szCs w:val="23"/>
          <w:lang w:val="ro-RO"/>
        </w:rPr>
        <w:t>.</w:t>
      </w:r>
    </w:p>
    <w:p w14:paraId="27C2BE94"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5160D87" w14:textId="77777777" w:rsidR="00824AC0" w:rsidRPr="007C266E" w:rsidRDefault="00C43C61" w:rsidP="0038022C">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Prin Strategia Energetică a României, </w:t>
      </w:r>
      <w:r w:rsidR="00885CEE" w:rsidRPr="007C266E">
        <w:rPr>
          <w:rFonts w:ascii="Times New Roman" w:hAnsi="Times New Roman" w:cs="Times New Roman"/>
          <w:sz w:val="23"/>
          <w:szCs w:val="23"/>
          <w:lang w:val="ro-RO"/>
        </w:rPr>
        <w:t xml:space="preserve">sunt considerate investiții prioritare acele investiții necesare pe întreg lanțul sistemului energetic, care conduc la </w:t>
      </w:r>
      <w:r w:rsidR="00164F81" w:rsidRPr="007C266E">
        <w:rPr>
          <w:rFonts w:ascii="Times New Roman" w:hAnsi="Times New Roman" w:cs="Times New Roman"/>
          <w:sz w:val="23"/>
          <w:szCs w:val="23"/>
          <w:lang w:val="ro-RO"/>
        </w:rPr>
        <w:t>atingerea obiectivelor fundamentale</w:t>
      </w:r>
      <w:r w:rsidRPr="007C266E">
        <w:rPr>
          <w:rFonts w:ascii="Times New Roman" w:hAnsi="Times New Roman" w:cs="Times New Roman"/>
          <w:sz w:val="23"/>
          <w:szCs w:val="23"/>
          <w:lang w:val="ro-RO"/>
        </w:rPr>
        <w:t>:</w:t>
      </w:r>
    </w:p>
    <w:p w14:paraId="6A11E51C" w14:textId="77777777" w:rsidR="004B5E76" w:rsidRPr="007C266E" w:rsidRDefault="00824AC0" w:rsidP="0038022C">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1. </w:t>
      </w:r>
      <w:r w:rsidR="007E39E6" w:rsidRPr="007C266E">
        <w:rPr>
          <w:rFonts w:ascii="Times New Roman" w:hAnsi="Times New Roman" w:cs="Times New Roman"/>
          <w:b/>
          <w:sz w:val="23"/>
          <w:szCs w:val="23"/>
          <w:lang w:val="ro-RO"/>
        </w:rPr>
        <w:t xml:space="preserve">Investiţii în producerea de energie </w:t>
      </w:r>
      <w:r w:rsidR="00B81FFF" w:rsidRPr="007C266E">
        <w:rPr>
          <w:rFonts w:ascii="Times New Roman" w:hAnsi="Times New Roman" w:cs="Times New Roman"/>
          <w:b/>
          <w:sz w:val="23"/>
          <w:szCs w:val="23"/>
          <w:lang w:val="ro-RO"/>
        </w:rPr>
        <w:t>cu emisii scăzute de carbon</w:t>
      </w:r>
      <w:r w:rsidR="003272FE" w:rsidRPr="007C266E">
        <w:rPr>
          <w:rFonts w:ascii="Times New Roman" w:hAnsi="Times New Roman" w:cs="Times New Roman"/>
          <w:b/>
          <w:sz w:val="23"/>
          <w:szCs w:val="23"/>
          <w:lang w:val="ro-RO"/>
        </w:rPr>
        <w:t xml:space="preserve">, prin </w:t>
      </w:r>
      <w:r w:rsidR="007E39E6" w:rsidRPr="007C266E">
        <w:rPr>
          <w:rFonts w:ascii="Times New Roman" w:hAnsi="Times New Roman" w:cs="Times New Roman"/>
          <w:b/>
          <w:sz w:val="23"/>
          <w:szCs w:val="23"/>
          <w:lang w:val="ro-RO"/>
        </w:rPr>
        <w:t>substituirea utilizării cărbunelui cu gazele natural</w:t>
      </w:r>
      <w:r w:rsidR="00B81FFF" w:rsidRPr="007C266E">
        <w:rPr>
          <w:rFonts w:ascii="Times New Roman" w:hAnsi="Times New Roman" w:cs="Times New Roman"/>
          <w:b/>
          <w:sz w:val="23"/>
          <w:szCs w:val="23"/>
          <w:lang w:val="ro-RO"/>
        </w:rPr>
        <w:t>e</w:t>
      </w:r>
      <w:r w:rsidR="007E39E6" w:rsidRPr="007C266E">
        <w:rPr>
          <w:rFonts w:ascii="Times New Roman" w:hAnsi="Times New Roman" w:cs="Times New Roman"/>
          <w:b/>
          <w:sz w:val="23"/>
          <w:szCs w:val="23"/>
          <w:lang w:val="ro-RO"/>
        </w:rPr>
        <w:t xml:space="preserve"> </w:t>
      </w:r>
      <w:r w:rsidR="003272FE" w:rsidRPr="007C266E">
        <w:rPr>
          <w:rFonts w:ascii="Times New Roman" w:hAnsi="Times New Roman" w:cs="Times New Roman"/>
          <w:b/>
          <w:sz w:val="23"/>
          <w:szCs w:val="23"/>
          <w:lang w:val="ro-RO"/>
        </w:rPr>
        <w:t>ș</w:t>
      </w:r>
      <w:r w:rsidR="004B5E76" w:rsidRPr="007C266E">
        <w:rPr>
          <w:rFonts w:ascii="Times New Roman" w:hAnsi="Times New Roman" w:cs="Times New Roman"/>
          <w:b/>
          <w:sz w:val="23"/>
          <w:szCs w:val="23"/>
          <w:lang w:val="ro-RO"/>
        </w:rPr>
        <w:t xml:space="preserve">i surse regenerabile de energie precum și </w:t>
      </w:r>
      <w:r w:rsidR="003272FE" w:rsidRPr="007C266E">
        <w:rPr>
          <w:rFonts w:ascii="Times New Roman" w:hAnsi="Times New Roman" w:cs="Times New Roman"/>
          <w:b/>
          <w:sz w:val="23"/>
          <w:szCs w:val="23"/>
          <w:lang w:val="ro-RO"/>
        </w:rPr>
        <w:t xml:space="preserve">construcţia de centrale de cogenerare de înaltă eficienţă, în tehnologie cu ciclu combinat cu funcţionarea pe gaze </w:t>
      </w:r>
      <w:r w:rsidR="004B5E76" w:rsidRPr="007C266E">
        <w:rPr>
          <w:rFonts w:ascii="Times New Roman" w:hAnsi="Times New Roman" w:cs="Times New Roman"/>
          <w:b/>
          <w:sz w:val="23"/>
          <w:szCs w:val="23"/>
          <w:lang w:val="ro-RO"/>
        </w:rPr>
        <w:t>natura</w:t>
      </w:r>
      <w:r w:rsidR="002644F6" w:rsidRPr="007C266E">
        <w:rPr>
          <w:rFonts w:ascii="Times New Roman" w:hAnsi="Times New Roman" w:cs="Times New Roman"/>
          <w:b/>
          <w:sz w:val="23"/>
          <w:szCs w:val="23"/>
          <w:lang w:val="ro-RO"/>
        </w:rPr>
        <w:t>le</w:t>
      </w:r>
      <w:r w:rsidR="004B5E76" w:rsidRPr="007C266E">
        <w:rPr>
          <w:rFonts w:ascii="Times New Roman" w:hAnsi="Times New Roman" w:cs="Times New Roman"/>
          <w:b/>
          <w:sz w:val="23"/>
          <w:szCs w:val="23"/>
          <w:lang w:val="ro-RO"/>
        </w:rPr>
        <w:t xml:space="preserve">. </w:t>
      </w:r>
      <w:r w:rsidR="004B5E76" w:rsidRPr="007C266E">
        <w:rPr>
          <w:rFonts w:ascii="Times New Roman" w:hAnsi="Times New Roman" w:cs="Times New Roman"/>
          <w:sz w:val="23"/>
          <w:szCs w:val="23"/>
          <w:lang w:val="ro-RO"/>
        </w:rPr>
        <w:t xml:space="preserve">Implementarea </w:t>
      </w:r>
      <w:r w:rsidR="004B5E76" w:rsidRPr="007C266E">
        <w:rPr>
          <w:rFonts w:ascii="Times New Roman" w:hAnsi="Times New Roman" w:cs="Times New Roman"/>
          <w:i/>
          <w:sz w:val="23"/>
          <w:szCs w:val="23"/>
          <w:lang w:val="ro-RO"/>
        </w:rPr>
        <w:t>Planului de decarbonare al Complexului Energetic Oltenia</w:t>
      </w:r>
      <w:r w:rsidR="004B5E76" w:rsidRPr="007C266E">
        <w:rPr>
          <w:rFonts w:ascii="Times New Roman" w:hAnsi="Times New Roman" w:cs="Times New Roman"/>
          <w:sz w:val="23"/>
          <w:szCs w:val="23"/>
          <w:lang w:val="ro-RO"/>
        </w:rPr>
        <w:t xml:space="preserve"> are un rol prioritar în trecerea de la combustibili fosili solizi către tehnologii </w:t>
      </w:r>
      <w:r w:rsidR="00C97060" w:rsidRPr="007C266E">
        <w:rPr>
          <w:rFonts w:ascii="Times New Roman" w:hAnsi="Times New Roman" w:cs="Times New Roman"/>
          <w:sz w:val="23"/>
          <w:szCs w:val="23"/>
          <w:lang w:val="ro-RO"/>
        </w:rPr>
        <w:t>cu emisii reduse de carbon</w:t>
      </w:r>
      <w:r w:rsidR="004B5E76" w:rsidRPr="007C266E">
        <w:rPr>
          <w:rFonts w:ascii="Times New Roman" w:hAnsi="Times New Roman" w:cs="Times New Roman"/>
          <w:sz w:val="23"/>
          <w:szCs w:val="23"/>
          <w:lang w:val="ro-RO"/>
        </w:rPr>
        <w:t>.</w:t>
      </w:r>
    </w:p>
    <w:p w14:paraId="4B8F40C2" w14:textId="77777777" w:rsidR="004B5E76" w:rsidRPr="007C266E" w:rsidRDefault="00C97060" w:rsidP="0038022C">
      <w:pPr>
        <w:spacing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Măsurile de d</w:t>
      </w:r>
      <w:r w:rsidR="004B5E76" w:rsidRPr="007C266E">
        <w:rPr>
          <w:rFonts w:ascii="Times New Roman" w:hAnsi="Times New Roman" w:cs="Times New Roman"/>
          <w:b/>
          <w:sz w:val="23"/>
          <w:szCs w:val="23"/>
          <w:lang w:val="ro-RO"/>
        </w:rPr>
        <w:t>ecarbonare</w:t>
      </w:r>
      <w:r w:rsidRPr="007C266E">
        <w:rPr>
          <w:rFonts w:ascii="Times New Roman" w:hAnsi="Times New Roman" w:cs="Times New Roman"/>
          <w:b/>
          <w:sz w:val="23"/>
          <w:szCs w:val="23"/>
          <w:lang w:val="ro-RO"/>
        </w:rPr>
        <w:t xml:space="preserve"> </w:t>
      </w:r>
      <w:r w:rsidR="004B5E76" w:rsidRPr="007C266E">
        <w:rPr>
          <w:rFonts w:ascii="Times New Roman" w:hAnsi="Times New Roman" w:cs="Times New Roman"/>
          <w:b/>
          <w:sz w:val="23"/>
          <w:szCs w:val="23"/>
          <w:lang w:val="ro-RO"/>
        </w:rPr>
        <w:t xml:space="preserve">a sectorului de producere a </w:t>
      </w:r>
      <w:r w:rsidRPr="007C266E">
        <w:rPr>
          <w:rFonts w:ascii="Times New Roman" w:hAnsi="Times New Roman" w:cs="Times New Roman"/>
          <w:b/>
          <w:sz w:val="23"/>
          <w:szCs w:val="23"/>
          <w:lang w:val="ro-RO"/>
        </w:rPr>
        <w:t>e</w:t>
      </w:r>
      <w:r w:rsidR="004B5E76" w:rsidRPr="007C266E">
        <w:rPr>
          <w:rFonts w:ascii="Times New Roman" w:hAnsi="Times New Roman" w:cs="Times New Roman"/>
          <w:b/>
          <w:sz w:val="23"/>
          <w:szCs w:val="23"/>
          <w:lang w:val="ro-RO"/>
        </w:rPr>
        <w:t xml:space="preserve">nergiei electrice și termice </w:t>
      </w:r>
      <w:r w:rsidRPr="007C266E">
        <w:rPr>
          <w:rFonts w:ascii="Times New Roman" w:hAnsi="Times New Roman" w:cs="Times New Roman"/>
          <w:b/>
          <w:sz w:val="23"/>
          <w:szCs w:val="23"/>
          <w:lang w:val="ro-RO"/>
        </w:rPr>
        <w:t xml:space="preserve">sunt </w:t>
      </w:r>
      <w:r w:rsidR="004B5E76" w:rsidRPr="007C266E">
        <w:rPr>
          <w:rFonts w:ascii="Times New Roman" w:hAnsi="Times New Roman" w:cs="Times New Roman"/>
          <w:b/>
          <w:sz w:val="23"/>
          <w:szCs w:val="23"/>
          <w:lang w:val="ro-RO"/>
        </w:rPr>
        <w:t>detaliate în Planul Național Integrat Energie Schimbări Climatice (PNIESC).</w:t>
      </w:r>
    </w:p>
    <w:p w14:paraId="51B4274B" w14:textId="77777777" w:rsidR="00C97060" w:rsidRPr="007C266E" w:rsidRDefault="00824AC0" w:rsidP="0038022C">
      <w:pPr>
        <w:spacing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2. </w:t>
      </w:r>
      <w:r w:rsidR="00C97060" w:rsidRPr="007C266E">
        <w:rPr>
          <w:rFonts w:ascii="Times New Roman" w:hAnsi="Times New Roman" w:cs="Times New Roman"/>
          <w:b/>
          <w:sz w:val="23"/>
          <w:szCs w:val="23"/>
          <w:lang w:val="ro-RO"/>
        </w:rPr>
        <w:t>Investiţii în creşterea potenţialului de producţie a energiei din surse regenerabile, luând în calcul atât potenţialul României pentru energia eoliană şi fotovoltaică, cât şi pentru cea produsă în fermele eoliene offshore.</w:t>
      </w:r>
    </w:p>
    <w:p w14:paraId="075459C4" w14:textId="77777777" w:rsidR="005513D4" w:rsidRPr="007C266E" w:rsidRDefault="00824AC0" w:rsidP="006E1D2D">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b/>
          <w:sz w:val="23"/>
          <w:szCs w:val="23"/>
          <w:lang w:val="ro-RO"/>
        </w:rPr>
        <w:t xml:space="preserve">3. </w:t>
      </w:r>
      <w:r w:rsidR="00C97060" w:rsidRPr="007C266E">
        <w:rPr>
          <w:rFonts w:ascii="Times New Roman" w:hAnsi="Times New Roman" w:cs="Times New Roman"/>
          <w:b/>
          <w:sz w:val="23"/>
          <w:szCs w:val="23"/>
          <w:lang w:val="ro-RO"/>
        </w:rPr>
        <w:t>C</w:t>
      </w:r>
      <w:r w:rsidR="003272FE" w:rsidRPr="007C266E">
        <w:rPr>
          <w:rFonts w:ascii="Times New Roman" w:hAnsi="Times New Roman" w:cs="Times New Roman"/>
          <w:b/>
          <w:sz w:val="23"/>
          <w:szCs w:val="23"/>
          <w:lang w:val="ro-RO"/>
        </w:rPr>
        <w:t xml:space="preserve">reșterea </w:t>
      </w:r>
      <w:r w:rsidR="00C97060" w:rsidRPr="007C266E">
        <w:rPr>
          <w:rFonts w:ascii="Times New Roman" w:hAnsi="Times New Roman" w:cs="Times New Roman"/>
          <w:b/>
          <w:sz w:val="23"/>
          <w:szCs w:val="23"/>
          <w:lang w:val="ro-RO"/>
        </w:rPr>
        <w:t xml:space="preserve">capacităților energetice nucleare, </w:t>
      </w:r>
      <w:r w:rsidR="00AE654C" w:rsidRPr="007C266E">
        <w:rPr>
          <w:rFonts w:ascii="Times New Roman" w:hAnsi="Times New Roman" w:cs="Times New Roman"/>
          <w:b/>
          <w:sz w:val="23"/>
          <w:szCs w:val="23"/>
          <w:lang w:val="ro-RO"/>
        </w:rPr>
        <w:t xml:space="preserve">retehnologizarea Unității 1 și finalizarea </w:t>
      </w:r>
      <w:r w:rsidR="00EE32C1" w:rsidRPr="007C266E">
        <w:rPr>
          <w:rFonts w:ascii="Times New Roman" w:hAnsi="Times New Roman" w:cs="Times New Roman"/>
          <w:b/>
          <w:sz w:val="23"/>
          <w:szCs w:val="23"/>
          <w:lang w:val="ro-RO"/>
        </w:rPr>
        <w:t>proiectului Unităţilor 3 şi 4 de la CNE Cernavodă</w:t>
      </w:r>
      <w:r w:rsidR="003272FE" w:rsidRPr="007C266E">
        <w:rPr>
          <w:rFonts w:ascii="Times New Roman" w:hAnsi="Times New Roman" w:cs="Times New Roman"/>
          <w:b/>
          <w:sz w:val="23"/>
          <w:szCs w:val="23"/>
          <w:lang w:val="ro-RO"/>
        </w:rPr>
        <w:t>.</w:t>
      </w:r>
      <w:r w:rsidR="003272FE" w:rsidRPr="007C266E">
        <w:rPr>
          <w:rFonts w:ascii="Times New Roman" w:hAnsi="Times New Roman" w:cs="Times New Roman"/>
          <w:b/>
          <w:color w:val="FF0000"/>
          <w:sz w:val="23"/>
          <w:szCs w:val="23"/>
          <w:lang w:val="ro-RO"/>
        </w:rPr>
        <w:t xml:space="preserve"> </w:t>
      </w:r>
      <w:r w:rsidR="005513D4" w:rsidRPr="007C266E">
        <w:rPr>
          <w:rFonts w:ascii="Times New Roman" w:hAnsi="Times New Roman" w:cs="Times New Roman"/>
          <w:sz w:val="23"/>
          <w:szCs w:val="23"/>
          <w:lang w:val="ro-RO"/>
        </w:rPr>
        <w:t xml:space="preserve"> Energia nucleară, </w:t>
      </w:r>
      <w:r w:rsidR="002644F6" w:rsidRPr="007C266E">
        <w:rPr>
          <w:rFonts w:ascii="Times New Roman" w:hAnsi="Times New Roman" w:cs="Times New Roman"/>
          <w:sz w:val="23"/>
          <w:szCs w:val="23"/>
          <w:lang w:val="ro-RO"/>
        </w:rPr>
        <w:t xml:space="preserve">fiind </w:t>
      </w:r>
      <w:r w:rsidR="005513D4" w:rsidRPr="007C266E">
        <w:rPr>
          <w:rFonts w:ascii="Times New Roman" w:hAnsi="Times New Roman" w:cs="Times New Roman"/>
          <w:sz w:val="23"/>
          <w:szCs w:val="23"/>
          <w:lang w:val="ro-RO"/>
        </w:rPr>
        <w:lastRenderedPageBreak/>
        <w:t xml:space="preserve">sursă de energie cu emisii reduse de carbon, are o pondere semnificativă în totalul producţiei naționale de </w:t>
      </w:r>
      <w:r w:rsidR="002644F6" w:rsidRPr="007C266E">
        <w:rPr>
          <w:rFonts w:ascii="Times New Roman" w:hAnsi="Times New Roman" w:cs="Times New Roman"/>
          <w:sz w:val="23"/>
          <w:szCs w:val="23"/>
          <w:lang w:val="ro-RO"/>
        </w:rPr>
        <w:t>energie electrică - circa 18%</w:t>
      </w:r>
      <w:r w:rsidR="005513D4" w:rsidRPr="007C266E">
        <w:rPr>
          <w:rFonts w:ascii="Times New Roman" w:hAnsi="Times New Roman" w:cs="Times New Roman"/>
          <w:sz w:val="23"/>
          <w:szCs w:val="23"/>
          <w:lang w:val="ro-RO"/>
        </w:rPr>
        <w:t xml:space="preserve"> și reprezintă o componentă de bază a mixului energetic din România</w:t>
      </w:r>
      <w:r w:rsidR="00E15E34" w:rsidRPr="007C266E">
        <w:rPr>
          <w:rFonts w:ascii="Times New Roman" w:hAnsi="Times New Roman" w:cs="Times New Roman"/>
          <w:sz w:val="23"/>
          <w:szCs w:val="23"/>
          <w:lang w:val="ro-RO"/>
        </w:rPr>
        <w:t xml:space="preserve">. </w:t>
      </w:r>
      <w:r w:rsidR="005513D4" w:rsidRPr="007C266E">
        <w:rPr>
          <w:rFonts w:ascii="Times New Roman" w:hAnsi="Times New Roman" w:cs="Times New Roman"/>
          <w:sz w:val="23"/>
          <w:szCs w:val="23"/>
          <w:lang w:val="ro-RO"/>
        </w:rPr>
        <w:t>Energia nucleară din România este susţin</w:t>
      </w:r>
      <w:r w:rsidR="00E15E34" w:rsidRPr="007C266E">
        <w:rPr>
          <w:rFonts w:ascii="Times New Roman" w:hAnsi="Times New Roman" w:cs="Times New Roman"/>
          <w:sz w:val="23"/>
          <w:szCs w:val="23"/>
          <w:lang w:val="ro-RO"/>
        </w:rPr>
        <w:t>ută de resurse și</w:t>
      </w:r>
      <w:r w:rsidR="005513D4" w:rsidRPr="007C266E">
        <w:rPr>
          <w:rFonts w:ascii="Times New Roman" w:hAnsi="Times New Roman" w:cs="Times New Roman"/>
          <w:sz w:val="23"/>
          <w:szCs w:val="23"/>
          <w:lang w:val="ro-RO"/>
        </w:rPr>
        <w:t xml:space="preserve"> infrastructură internă ce acoperă întreg ciclul deschis de combustibil</w:t>
      </w:r>
      <w:r w:rsidR="00C81821" w:rsidRPr="007C266E">
        <w:rPr>
          <w:rFonts w:ascii="Times New Roman" w:hAnsi="Times New Roman" w:cs="Times New Roman"/>
          <w:sz w:val="23"/>
          <w:szCs w:val="23"/>
          <w:lang w:val="ro-RO"/>
        </w:rPr>
        <w:t>ul</w:t>
      </w:r>
      <w:r w:rsidR="005513D4" w:rsidRPr="007C266E">
        <w:rPr>
          <w:rFonts w:ascii="Times New Roman" w:hAnsi="Times New Roman" w:cs="Times New Roman"/>
          <w:sz w:val="23"/>
          <w:szCs w:val="23"/>
          <w:lang w:val="ro-RO"/>
        </w:rPr>
        <w:t xml:space="preserve"> nuclear; practic, România are un grad ridicat de independenţă în producerea de energie nucleară. </w:t>
      </w:r>
    </w:p>
    <w:p w14:paraId="4A046ECC" w14:textId="77777777" w:rsidR="005513D4" w:rsidRPr="007C266E" w:rsidRDefault="005513D4" w:rsidP="0038022C">
      <w:pPr>
        <w:spacing w:after="0" w:line="240" w:lineRule="auto"/>
        <w:jc w:val="both"/>
        <w:rPr>
          <w:rFonts w:ascii="Times New Roman" w:hAnsi="Times New Roman" w:cs="Times New Roman"/>
          <w:sz w:val="23"/>
          <w:szCs w:val="23"/>
          <w:lang w:val="ro-RO"/>
        </w:rPr>
      </w:pPr>
    </w:p>
    <w:p w14:paraId="271B6399" w14:textId="77777777" w:rsidR="005513D4" w:rsidRPr="007C266E" w:rsidRDefault="005513D4"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Analizele privind necesitatea îndeplinirii obiectivelor şi ţintelor de mediu şi securitate energetică, siguranţă în aprovizionare şi diversificarea surselor pentru un mix energetic echilibrat, care să asigure tranziţia către un sector energetic cu emisii reduse de gaze cu efect de seră și un preț al energiei suportabil pentru consumatori, relevă că Proiectul Unităţilor 3 şi 4 de la CNE Cernavodă reprezintă una dintre soluțiile optime de acoperire a deficitului de capacitate de producţie de energie electrică previzionat pentru 2028-2035 ca urmare a atingerii duratei limită de operare a mai multor capacităţi existente bazate pe combustibili fosili.</w:t>
      </w:r>
    </w:p>
    <w:p w14:paraId="60C8B61A" w14:textId="77777777" w:rsidR="002F3C7C" w:rsidRPr="007C266E" w:rsidRDefault="002F3C7C" w:rsidP="00A86877">
      <w:pPr>
        <w:spacing w:after="0" w:line="240" w:lineRule="auto"/>
        <w:jc w:val="both"/>
        <w:rPr>
          <w:rFonts w:ascii="Times New Roman" w:hAnsi="Times New Roman" w:cs="Times New Roman"/>
          <w:sz w:val="23"/>
          <w:szCs w:val="23"/>
          <w:lang w:val="ro-RO"/>
        </w:rPr>
      </w:pPr>
    </w:p>
    <w:p w14:paraId="0EFEF544" w14:textId="77777777" w:rsidR="007160AA" w:rsidRPr="007C266E" w:rsidRDefault="00824AC0" w:rsidP="00B03EBC">
      <w:pPr>
        <w:spacing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4. </w:t>
      </w:r>
      <w:r w:rsidR="007160AA" w:rsidRPr="007C266E">
        <w:rPr>
          <w:rFonts w:ascii="Times New Roman" w:hAnsi="Times New Roman" w:cs="Times New Roman"/>
          <w:b/>
          <w:sz w:val="23"/>
          <w:szCs w:val="23"/>
          <w:lang w:val="ro-RO"/>
        </w:rPr>
        <w:t>Investiţii în retehnologizara şi modernizarea reţelelor de energie prin introducerea digitalizării şi a reţelelor inteligente (</w:t>
      </w:r>
      <w:r w:rsidR="007160AA" w:rsidRPr="007C266E">
        <w:rPr>
          <w:rFonts w:ascii="Times New Roman" w:hAnsi="Times New Roman" w:cs="Times New Roman"/>
          <w:b/>
          <w:i/>
          <w:sz w:val="23"/>
          <w:szCs w:val="23"/>
          <w:lang w:val="ro-RO"/>
        </w:rPr>
        <w:t>smart grid</w:t>
      </w:r>
      <w:r w:rsidR="007160AA" w:rsidRPr="007C266E">
        <w:rPr>
          <w:rFonts w:ascii="Times New Roman" w:hAnsi="Times New Roman" w:cs="Times New Roman"/>
          <w:b/>
          <w:sz w:val="23"/>
          <w:szCs w:val="23"/>
          <w:lang w:val="ro-RO"/>
        </w:rPr>
        <w:t>), măsuri esenţiale pentru susţinerea procesului de integrare sectorială şi tranziţie energetică.</w:t>
      </w:r>
    </w:p>
    <w:p w14:paraId="6613E1CE" w14:textId="77777777" w:rsidR="007E4F3E" w:rsidRPr="007C266E" w:rsidRDefault="007E4F3E" w:rsidP="00B03EBC">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Digitalizarea va contribui semnificativ la siguranța funcționării sistemului energetic, intensificând eforturile și capacitatea de răspuns în situaţia unor disfuncționalități ale sistemului</w:t>
      </w:r>
      <w:r w:rsidR="00725D75" w:rsidRPr="007C266E">
        <w:rPr>
          <w:rFonts w:ascii="Times New Roman" w:hAnsi="Times New Roman" w:cs="Times New Roman"/>
          <w:sz w:val="23"/>
          <w:szCs w:val="23"/>
          <w:lang w:val="ro-RO"/>
        </w:rPr>
        <w:t>. Totoda</w:t>
      </w:r>
      <w:r w:rsidR="008D6039" w:rsidRPr="007C266E">
        <w:rPr>
          <w:rFonts w:ascii="Times New Roman" w:hAnsi="Times New Roman" w:cs="Times New Roman"/>
          <w:sz w:val="23"/>
          <w:szCs w:val="23"/>
          <w:lang w:val="ro-RO"/>
        </w:rPr>
        <w:t>t</w:t>
      </w:r>
      <w:r w:rsidR="00725D75" w:rsidRPr="007C266E">
        <w:rPr>
          <w:rFonts w:ascii="Times New Roman" w:hAnsi="Times New Roman" w:cs="Times New Roman"/>
          <w:sz w:val="23"/>
          <w:szCs w:val="23"/>
          <w:lang w:val="ro-RO"/>
        </w:rPr>
        <w:t xml:space="preserve">ă, </w:t>
      </w:r>
      <w:r w:rsidR="008D6039" w:rsidRPr="007C266E">
        <w:rPr>
          <w:rFonts w:ascii="Times New Roman" w:hAnsi="Times New Roman" w:cs="Times New Roman"/>
          <w:sz w:val="23"/>
          <w:szCs w:val="23"/>
          <w:lang w:val="ro-RO"/>
        </w:rPr>
        <w:t>este necesară gestionarea cu maximă celeritate a riscurilor privind atacurile cibernetice.</w:t>
      </w:r>
      <w:r w:rsidR="005C77A8" w:rsidRPr="007C266E">
        <w:rPr>
          <w:rFonts w:ascii="Times New Roman" w:hAnsi="Times New Roman" w:cs="Times New Roman"/>
          <w:sz w:val="23"/>
          <w:szCs w:val="23"/>
          <w:lang w:val="ro-RO"/>
        </w:rPr>
        <w:t xml:space="preserve"> </w:t>
      </w:r>
    </w:p>
    <w:p w14:paraId="23CA8D34" w14:textId="77777777" w:rsidR="007160AA" w:rsidRPr="007C266E" w:rsidRDefault="00824AC0" w:rsidP="00B03EBC">
      <w:pPr>
        <w:spacing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5. </w:t>
      </w:r>
      <w:r w:rsidR="007160AA" w:rsidRPr="007C266E">
        <w:rPr>
          <w:rFonts w:ascii="Times New Roman" w:hAnsi="Times New Roman" w:cs="Times New Roman"/>
          <w:b/>
          <w:sz w:val="23"/>
          <w:szCs w:val="23"/>
          <w:lang w:val="ro-RO"/>
        </w:rPr>
        <w:t xml:space="preserve">Investiţii în realizarea şi finalizarea, după caz, a interconectărilor transfrontaliere cu ţările vecine (State Membre UE şi state terţe), atât pentru gaze naturale, cât şi pentru energia electrică. </w:t>
      </w:r>
    </w:p>
    <w:p w14:paraId="2C97D6EA" w14:textId="77777777" w:rsidR="007160AA" w:rsidRPr="007C266E" w:rsidRDefault="00E377D6" w:rsidP="006E1D2D">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Pentru implementarea priorit</w:t>
      </w:r>
      <w:r w:rsidR="00E15E34" w:rsidRPr="007C266E">
        <w:rPr>
          <w:rFonts w:ascii="Times New Roman" w:hAnsi="Times New Roman" w:cs="Times New Roman"/>
          <w:sz w:val="23"/>
          <w:szCs w:val="23"/>
          <w:lang w:val="ro-RO"/>
        </w:rPr>
        <w:t>ăţ</w:t>
      </w:r>
      <w:r w:rsidR="00E861CA" w:rsidRPr="007C266E">
        <w:rPr>
          <w:rFonts w:ascii="Times New Roman" w:hAnsi="Times New Roman" w:cs="Times New Roman"/>
          <w:sz w:val="23"/>
          <w:szCs w:val="23"/>
          <w:lang w:val="ro-RO"/>
        </w:rPr>
        <w:t>ilor referitoare la i</w:t>
      </w:r>
      <w:r w:rsidRPr="007C266E">
        <w:rPr>
          <w:rFonts w:ascii="Times New Roman" w:hAnsi="Times New Roman" w:cs="Times New Roman"/>
          <w:sz w:val="23"/>
          <w:szCs w:val="23"/>
          <w:lang w:val="ro-RO"/>
        </w:rPr>
        <w:t>nfrastructura energetică europeană, Comisia Europeană a inclus anumite proiecte de dezvoltare a RET (incluse în Planul Național de dezvoltare a RET) în cea de-a patra listă Europeană de Proiecte de Interes Comun (PCI), Interconexiuni nord-sud privind energia electrică din Europa Centrală și din Europa de Sud-Est</w:t>
      </w:r>
      <w:r w:rsidR="007160AA" w:rsidRPr="007C266E">
        <w:rPr>
          <w:rFonts w:ascii="Times New Roman" w:hAnsi="Times New Roman" w:cs="Times New Roman"/>
          <w:sz w:val="23"/>
          <w:szCs w:val="23"/>
          <w:lang w:val="ro-RO"/>
        </w:rPr>
        <w:t xml:space="preserve">. </w:t>
      </w:r>
    </w:p>
    <w:p w14:paraId="581C8C5F" w14:textId="77777777" w:rsidR="007160AA" w:rsidRPr="007C266E" w:rsidRDefault="007160AA" w:rsidP="0038022C">
      <w:pPr>
        <w:spacing w:after="0" w:line="240" w:lineRule="auto"/>
        <w:jc w:val="both"/>
        <w:rPr>
          <w:rFonts w:ascii="Times New Roman" w:hAnsi="Times New Roman" w:cs="Times New Roman"/>
          <w:sz w:val="23"/>
          <w:szCs w:val="23"/>
          <w:lang w:val="ro-RO"/>
        </w:rPr>
      </w:pPr>
    </w:p>
    <w:p w14:paraId="5A420FA5" w14:textId="77777777" w:rsidR="007160AA" w:rsidRPr="007C266E" w:rsidRDefault="007160AA" w:rsidP="0038022C">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Totodată, în ceea ce priveşte infrastructura gazelor naturale, obiectivul principal îl reprezintă consolidarea</w:t>
      </w:r>
      <w:r w:rsidRPr="007C266E">
        <w:rPr>
          <w:rFonts w:ascii="Times New Roman" w:hAnsi="Times New Roman" w:cs="Times New Roman"/>
          <w:b/>
          <w:sz w:val="23"/>
          <w:szCs w:val="23"/>
          <w:lang w:val="ro-RO"/>
        </w:rPr>
        <w:t xml:space="preserve"> </w:t>
      </w:r>
      <w:r w:rsidRPr="007C266E">
        <w:rPr>
          <w:rFonts w:ascii="Times New Roman" w:hAnsi="Times New Roman" w:cs="Times New Roman"/>
          <w:sz w:val="23"/>
          <w:szCs w:val="23"/>
          <w:lang w:val="ro-RO"/>
        </w:rPr>
        <w:t>SNT (Sistemul Naţional de Transport), prin realizarea interconectă</w:t>
      </w:r>
      <w:r w:rsidR="00015432" w:rsidRPr="007C266E">
        <w:rPr>
          <w:rFonts w:ascii="Times New Roman" w:hAnsi="Times New Roman" w:cs="Times New Roman"/>
          <w:sz w:val="23"/>
          <w:szCs w:val="23"/>
          <w:lang w:val="ro-RO"/>
        </w:rPr>
        <w:t xml:space="preserve">rilor cu statele vecine în condiţii tehnice optime, </w:t>
      </w:r>
      <w:r w:rsidRPr="007C266E">
        <w:rPr>
          <w:rFonts w:ascii="Times New Roman" w:hAnsi="Times New Roman" w:cs="Times New Roman"/>
          <w:sz w:val="23"/>
          <w:szCs w:val="23"/>
          <w:lang w:val="ro-RO"/>
        </w:rPr>
        <w:t>implementarea Proiectului BRUA</w:t>
      </w:r>
      <w:r w:rsidR="00015432" w:rsidRPr="007C266E">
        <w:rPr>
          <w:rFonts w:ascii="Times New Roman" w:hAnsi="Times New Roman" w:cs="Times New Roman"/>
          <w:sz w:val="23"/>
          <w:szCs w:val="23"/>
          <w:lang w:val="ro-RO"/>
        </w:rPr>
        <w:t xml:space="preserve"> şi</w:t>
      </w:r>
      <w:r w:rsidRPr="007C266E">
        <w:rPr>
          <w:rFonts w:ascii="Times New Roman" w:hAnsi="Times New Roman" w:cs="Times New Roman"/>
          <w:sz w:val="23"/>
          <w:szCs w:val="23"/>
          <w:lang w:val="ro-RO"/>
        </w:rPr>
        <w:t xml:space="preserve"> dezvoltarea pe teritoriul României a Coridorului Sudic de Transport pentru preluarea gazelor naturale de la țărmul Mării Negre</w:t>
      </w:r>
      <w:r w:rsidR="00015432" w:rsidRPr="007C266E">
        <w:rPr>
          <w:rFonts w:ascii="Times New Roman" w:hAnsi="Times New Roman" w:cs="Times New Roman"/>
          <w:sz w:val="23"/>
          <w:szCs w:val="23"/>
          <w:lang w:val="ro-RO"/>
        </w:rPr>
        <w:t xml:space="preserve">. </w:t>
      </w:r>
    </w:p>
    <w:p w14:paraId="335F25CD" w14:textId="77777777" w:rsidR="00AE7C62" w:rsidRPr="007C266E" w:rsidRDefault="00AE7C62" w:rsidP="00B03EBC">
      <w:pPr>
        <w:spacing w:after="0" w:line="240" w:lineRule="auto"/>
        <w:rPr>
          <w:rFonts w:ascii="Times New Roman" w:hAnsi="Times New Roman" w:cs="Times New Roman"/>
          <w:sz w:val="23"/>
          <w:szCs w:val="23"/>
          <w:lang w:val="ro-RO"/>
        </w:rPr>
      </w:pPr>
    </w:p>
    <w:p w14:paraId="643A02C9" w14:textId="77777777" w:rsidR="00015432" w:rsidRPr="007C266E" w:rsidRDefault="00824AC0" w:rsidP="00B03EBC">
      <w:pPr>
        <w:spacing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6. </w:t>
      </w:r>
      <w:r w:rsidR="007160AA" w:rsidRPr="007C266E">
        <w:rPr>
          <w:rFonts w:ascii="Times New Roman" w:hAnsi="Times New Roman" w:cs="Times New Roman"/>
          <w:b/>
          <w:sz w:val="23"/>
          <w:szCs w:val="23"/>
          <w:lang w:val="ro-RO"/>
        </w:rPr>
        <w:t xml:space="preserve">Investiţii în capacităţile de stocare, luând în calcul şi potenţialul </w:t>
      </w:r>
      <w:r w:rsidR="001164F1" w:rsidRPr="007C266E">
        <w:rPr>
          <w:rFonts w:ascii="Times New Roman" w:hAnsi="Times New Roman" w:cs="Times New Roman"/>
          <w:b/>
          <w:sz w:val="23"/>
          <w:szCs w:val="23"/>
          <w:lang w:val="ro-RO"/>
        </w:rPr>
        <w:t>h</w:t>
      </w:r>
      <w:r w:rsidR="007160AA" w:rsidRPr="007C266E">
        <w:rPr>
          <w:rFonts w:ascii="Times New Roman" w:hAnsi="Times New Roman" w:cs="Times New Roman"/>
          <w:b/>
          <w:sz w:val="23"/>
          <w:szCs w:val="23"/>
          <w:lang w:val="ro-RO"/>
        </w:rPr>
        <w:t xml:space="preserve">idrogenului şi a gazelor noi în procesul de integrare sectorială. </w:t>
      </w:r>
    </w:p>
    <w:p w14:paraId="69BB7C7E" w14:textId="77777777" w:rsidR="00280D40" w:rsidRPr="007F0EEE" w:rsidRDefault="00280D40" w:rsidP="00280D40">
      <w:pPr>
        <w:pStyle w:val="Caption"/>
        <w:jc w:val="both"/>
        <w:rPr>
          <w:rFonts w:ascii="Times New Roman" w:hAnsi="Times New Roman" w:cs="Times New Roman"/>
          <w:i w:val="0"/>
          <w:sz w:val="23"/>
          <w:szCs w:val="23"/>
          <w:lang w:val="ro-RO"/>
        </w:rPr>
      </w:pPr>
      <w:r w:rsidRPr="007F0EEE">
        <w:rPr>
          <w:rFonts w:ascii="Times New Roman" w:hAnsi="Times New Roman" w:cs="Times New Roman"/>
          <w:i w:val="0"/>
          <w:sz w:val="23"/>
          <w:szCs w:val="23"/>
          <w:lang w:val="ro-RO"/>
        </w:rPr>
        <w:t>Investițiile cumulative necesare în perioada 2021 - 2030 pentru îndeplinirea obiectivelor propuse (scenariul WAM)</w:t>
      </w:r>
    </w:p>
    <w:p w14:paraId="58A3CD61" w14:textId="77777777" w:rsidR="00280D40" w:rsidRPr="007C266E" w:rsidRDefault="00280D40" w:rsidP="00280D40">
      <w:pPr>
        <w:spacing w:line="240" w:lineRule="auto"/>
        <w:rPr>
          <w:rFonts w:ascii="Times New Roman" w:hAnsi="Times New Roman" w:cs="Times New Roman"/>
          <w:sz w:val="23"/>
          <w:szCs w:val="23"/>
          <w:lang w:val="ro-RO"/>
        </w:rPr>
      </w:pPr>
      <w:r w:rsidRPr="007C266E">
        <w:rPr>
          <w:rFonts w:ascii="Times New Roman" w:hAnsi="Times New Roman" w:cs="Times New Roman"/>
          <w:noProof/>
          <w:sz w:val="23"/>
          <w:szCs w:val="23"/>
        </w:rPr>
        <w:drawing>
          <wp:inline distT="0" distB="0" distL="0" distR="0" wp14:anchorId="1F0AF9C0" wp14:editId="031C09BA">
            <wp:extent cx="2738541" cy="1287517"/>
            <wp:effectExtent l="0" t="0" r="5080" b="8255"/>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1289708"/>
                    </a:xfrm>
                    <a:prstGeom prst="rect">
                      <a:avLst/>
                    </a:prstGeom>
                    <a:noFill/>
                    <a:ln>
                      <a:noFill/>
                    </a:ln>
                  </pic:spPr>
                </pic:pic>
              </a:graphicData>
            </a:graphic>
          </wp:inline>
        </w:drawing>
      </w:r>
    </w:p>
    <w:p w14:paraId="664EAE79" w14:textId="77777777" w:rsidR="00280D40" w:rsidRDefault="00280D40" w:rsidP="00280D40">
      <w:pPr>
        <w:pStyle w:val="Caption"/>
        <w:spacing w:after="0"/>
        <w:jc w:val="both"/>
        <w:rPr>
          <w:rFonts w:ascii="Times New Roman" w:hAnsi="Times New Roman" w:cs="Times New Roman"/>
          <w:sz w:val="23"/>
          <w:szCs w:val="23"/>
          <w:lang w:val="ro-RO"/>
        </w:rPr>
      </w:pPr>
      <w:r w:rsidRPr="007F0EEE">
        <w:rPr>
          <w:rFonts w:ascii="Times New Roman" w:hAnsi="Times New Roman" w:cs="Times New Roman"/>
          <w:sz w:val="23"/>
          <w:szCs w:val="23"/>
          <w:lang w:val="ro-RO"/>
        </w:rPr>
        <w:t xml:space="preserve">Sursă: Analiză Deloitte, pe baza informațiilor transmise de Grupul de lucru interinstituțional PNIESC și a recomandărilor COM </w:t>
      </w:r>
    </w:p>
    <w:p w14:paraId="2089C6A4" w14:textId="77777777" w:rsidR="00824AC0" w:rsidRPr="007C266E" w:rsidRDefault="00015432" w:rsidP="00B03EBC">
      <w:pPr>
        <w:tabs>
          <w:tab w:val="left" w:pos="360"/>
        </w:tabs>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Capacităţile de stocare vor facilita sinergia între diversele sectoare ale sistemului energetic, precum şi echilibrarea acestuia. Modernizarea și optimizarea infrastructurii pentru a prelua noi purtători de energie, cum ar fi hidrogenul și gazele regenerabile, reprezintă o prioritate </w:t>
      </w:r>
      <w:r w:rsidR="004762B0" w:rsidRPr="007C266E">
        <w:rPr>
          <w:rFonts w:ascii="Times New Roman" w:hAnsi="Times New Roman" w:cs="Times New Roman"/>
          <w:sz w:val="23"/>
          <w:szCs w:val="23"/>
          <w:lang w:val="ro-RO"/>
        </w:rPr>
        <w:t>în</w:t>
      </w:r>
      <w:r w:rsidRPr="007C266E">
        <w:rPr>
          <w:rFonts w:ascii="Times New Roman" w:hAnsi="Times New Roman" w:cs="Times New Roman"/>
          <w:sz w:val="23"/>
          <w:szCs w:val="23"/>
          <w:lang w:val="ro-RO"/>
        </w:rPr>
        <w:t xml:space="preserve"> tranziţia energetică</w:t>
      </w:r>
      <w:r w:rsidR="00B81FFF" w:rsidRPr="007C266E">
        <w:rPr>
          <w:rFonts w:ascii="Times New Roman" w:hAnsi="Times New Roman" w:cs="Times New Roman"/>
          <w:sz w:val="23"/>
          <w:szCs w:val="23"/>
          <w:lang w:val="ro-RO"/>
        </w:rPr>
        <w:t xml:space="preserve">, acestea fiind susţinute şi de noile strategii ale </w:t>
      </w:r>
      <w:r w:rsidR="00B81FFF" w:rsidRPr="007C266E">
        <w:rPr>
          <w:rFonts w:ascii="Times New Roman" w:hAnsi="Times New Roman" w:cs="Times New Roman"/>
          <w:sz w:val="23"/>
          <w:szCs w:val="23"/>
          <w:lang w:val="ro-RO"/>
        </w:rPr>
        <w:lastRenderedPageBreak/>
        <w:t xml:space="preserve">Comisiei Europene privind hidrogenul şi integrarea sectorială. </w:t>
      </w:r>
    </w:p>
    <w:p w14:paraId="60965173" w14:textId="77777777" w:rsidR="00E861CA" w:rsidRPr="007C266E" w:rsidRDefault="006B7E2D" w:rsidP="00B03EBC">
      <w:pPr>
        <w:tabs>
          <w:tab w:val="left" w:pos="360"/>
        </w:tabs>
        <w:spacing w:line="240" w:lineRule="auto"/>
        <w:jc w:val="both"/>
        <w:rPr>
          <w:rFonts w:ascii="Times New Roman" w:eastAsiaTheme="majorEastAsia" w:hAnsi="Times New Roman" w:cs="Times New Roman"/>
          <w:bCs/>
          <w:sz w:val="23"/>
          <w:szCs w:val="23"/>
          <w:lang w:val="ro-RO"/>
        </w:rPr>
      </w:pPr>
      <w:r w:rsidRPr="007C266E">
        <w:rPr>
          <w:rFonts w:ascii="Times New Roman" w:eastAsiaTheme="majorEastAsia" w:hAnsi="Times New Roman" w:cs="Times New Roman"/>
          <w:bCs/>
          <w:sz w:val="23"/>
          <w:szCs w:val="23"/>
          <w:lang w:val="ro-RO"/>
        </w:rPr>
        <w:t>Investițiile necesare în perioada 2021-2030 (valori cumulative) necesare îndeplinirii obiectivelor propuse în contextul politicilor și măsurilor în sectorul energetic (producere, transport, distribuție energie electrică) vor fi în valoare de aproximativ 22,6 mld. eur</w:t>
      </w:r>
      <w:r w:rsidR="00E861CA" w:rsidRPr="007C266E">
        <w:rPr>
          <w:rFonts w:ascii="Times New Roman" w:eastAsiaTheme="majorEastAsia" w:hAnsi="Times New Roman" w:cs="Times New Roman"/>
          <w:bCs/>
          <w:sz w:val="23"/>
          <w:szCs w:val="23"/>
          <w:lang w:val="ro-RO"/>
        </w:rPr>
        <w:t>o.</w:t>
      </w:r>
    </w:p>
    <w:p w14:paraId="01BF9ABF" w14:textId="7A6B5953" w:rsidR="006B7E2D" w:rsidRDefault="006B7E2D" w:rsidP="00B03EBC">
      <w:pPr>
        <w:tabs>
          <w:tab w:val="left" w:pos="360"/>
        </w:tabs>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Totodată, conform Proiectului Strategiei de renovare pe termen lung (SRTL), în scenariul optim de renovare, cantitatea de energie din SRE va ajunge, până în anul 2030, la </w:t>
      </w:r>
      <w:r w:rsidRPr="007C266E">
        <w:rPr>
          <w:rFonts w:ascii="Times New Roman" w:hAnsi="Times New Roman" w:cs="Times New Roman"/>
          <w:sz w:val="23"/>
          <w:szCs w:val="23"/>
          <w:lang w:val="ro-RO"/>
        </w:rPr>
        <w:lastRenderedPageBreak/>
        <w:t>aproximativ 0</w:t>
      </w:r>
      <w:r w:rsidR="00A72EED"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22 Mte</w:t>
      </w:r>
      <w:r w:rsidR="00D42FDE" w:rsidRPr="007C266E">
        <w:rPr>
          <w:rFonts w:ascii="Times New Roman" w:hAnsi="Times New Roman" w:cs="Times New Roman"/>
          <w:sz w:val="23"/>
          <w:szCs w:val="23"/>
          <w:lang w:val="ro-RO"/>
        </w:rPr>
        <w:t>p</w:t>
      </w:r>
      <w:r w:rsidRPr="007C266E">
        <w:rPr>
          <w:rFonts w:ascii="Times New Roman" w:hAnsi="Times New Roman" w:cs="Times New Roman"/>
          <w:sz w:val="23"/>
          <w:szCs w:val="23"/>
          <w:lang w:val="ro-RO"/>
        </w:rPr>
        <w:t>, cu un necesar investițional pentru instalarea de soluții SRE de 2,94 miliarde EUR în perioada 2021-2030.</w:t>
      </w:r>
    </w:p>
    <w:p w14:paraId="1A1FE991" w14:textId="77777777" w:rsidR="002500F7" w:rsidRPr="007C266E" w:rsidRDefault="005513D4" w:rsidP="002500F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Prin realizarea investițiilor strategice necesare atingerii obiectivelor stabilite prin strategie, se are în vedere asigurarea unei participări vizibile a industriei orizontale din România (inginerie, proiectare, fabricarea de echipamente, materiale, etc) și creșterea componentei locale (locuri de muncă) cu impact </w:t>
      </w:r>
      <w:r w:rsidR="008E3ACD" w:rsidRPr="007C266E">
        <w:rPr>
          <w:rFonts w:ascii="Times New Roman" w:hAnsi="Times New Roman" w:cs="Times New Roman"/>
          <w:b/>
          <w:sz w:val="23"/>
          <w:szCs w:val="23"/>
          <w:lang w:val="ro-RO"/>
        </w:rPr>
        <w:t>în creșterea economică.</w:t>
      </w:r>
      <w:bookmarkStart w:id="31" w:name="_Toc44400863"/>
    </w:p>
    <w:p w14:paraId="399996F9" w14:textId="77777777" w:rsidR="002500F7" w:rsidRPr="007C266E" w:rsidRDefault="002500F7" w:rsidP="007B1F10">
      <w:pPr>
        <w:pStyle w:val="Heading1"/>
        <w:spacing w:line="240" w:lineRule="auto"/>
        <w:ind w:left="1288"/>
        <w:rPr>
          <w:rFonts w:ascii="Times New Roman" w:hAnsi="Times New Roman" w:cs="Times New Roman"/>
          <w:sz w:val="23"/>
          <w:szCs w:val="23"/>
          <w:lang w:val="ro-RO"/>
        </w:rPr>
        <w:sectPr w:rsidR="002500F7" w:rsidRPr="007C266E" w:rsidSect="002500F7">
          <w:type w:val="continuous"/>
          <w:pgSz w:w="12240" w:h="15840"/>
          <w:pgMar w:top="1440" w:right="1440" w:bottom="1440" w:left="1440" w:header="720" w:footer="720" w:gutter="0"/>
          <w:cols w:num="2" w:space="720"/>
          <w:docGrid w:linePitch="360"/>
        </w:sectPr>
      </w:pPr>
    </w:p>
    <w:p w14:paraId="673D7288" w14:textId="3B5FB368" w:rsidR="004858EC" w:rsidRDefault="004858EC" w:rsidP="004858EC">
      <w:pPr>
        <w:rPr>
          <w:rFonts w:ascii="Times New Roman" w:hAnsi="Times New Roman" w:cs="Times New Roman"/>
          <w:sz w:val="23"/>
          <w:szCs w:val="23"/>
          <w:highlight w:val="yellow"/>
          <w:lang w:val="ro-RO"/>
        </w:rPr>
      </w:pPr>
    </w:p>
    <w:p w14:paraId="40523AE4" w14:textId="77777777" w:rsidR="00E67BA5" w:rsidRPr="007C266E" w:rsidRDefault="00E67BA5" w:rsidP="00E67BA5">
      <w:pPr>
        <w:jc w:val="both"/>
        <w:rPr>
          <w:rFonts w:ascii="Times New Roman" w:hAnsi="Times New Roman" w:cs="Times New Roman"/>
          <w:b/>
          <w:sz w:val="23"/>
          <w:szCs w:val="23"/>
          <w:lang w:val="ro-RO"/>
        </w:rPr>
        <w:sectPr w:rsidR="00E67BA5" w:rsidRPr="007C266E" w:rsidSect="0089425F">
          <w:type w:val="continuous"/>
          <w:pgSz w:w="12240" w:h="15840"/>
          <w:pgMar w:top="1440" w:right="1440" w:bottom="1440" w:left="1440" w:header="720" w:footer="720" w:gutter="0"/>
          <w:cols w:space="720"/>
          <w:docGrid w:linePitch="360"/>
        </w:sectPr>
      </w:pPr>
    </w:p>
    <w:p w14:paraId="29668BD0" w14:textId="0525E6BE" w:rsidR="00035B45" w:rsidRPr="007C266E" w:rsidRDefault="002500F7" w:rsidP="00035B45">
      <w:pPr>
        <w:pStyle w:val="Heading1"/>
        <w:spacing w:line="240" w:lineRule="auto"/>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 xml:space="preserve">III.1 ALTERNATIVA </w:t>
      </w:r>
      <w:r w:rsidR="00035B45" w:rsidRPr="007C266E">
        <w:rPr>
          <w:rFonts w:ascii="Times New Roman" w:hAnsi="Times New Roman" w:cs="Times New Roman"/>
          <w:sz w:val="23"/>
          <w:szCs w:val="23"/>
          <w:lang w:val="ro-RO"/>
        </w:rPr>
        <w:t>N</w:t>
      </w:r>
      <w:r w:rsidRPr="007C266E">
        <w:rPr>
          <w:rFonts w:ascii="Times New Roman" w:hAnsi="Times New Roman" w:cs="Times New Roman"/>
          <w:sz w:val="23"/>
          <w:szCs w:val="23"/>
          <w:lang w:val="ro-RO"/>
        </w:rPr>
        <w:t xml:space="preserve">EIMPLEMENTĂRII PROGRAMULUI DE INVESTIȚII PRIORITARE </w:t>
      </w:r>
    </w:p>
    <w:p w14:paraId="1A11AE83" w14:textId="77777777" w:rsidR="00035B45" w:rsidRPr="007C266E" w:rsidRDefault="00035B45" w:rsidP="00035B45">
      <w:pPr>
        <w:rPr>
          <w:rFonts w:ascii="Times New Roman" w:hAnsi="Times New Roman" w:cs="Times New Roman"/>
          <w:sz w:val="23"/>
          <w:szCs w:val="23"/>
          <w:lang w:val="ro-RO"/>
        </w:rPr>
      </w:pPr>
    </w:p>
    <w:p w14:paraId="3378B54C" w14:textId="77777777" w:rsidR="00590A73" w:rsidRPr="007C266E" w:rsidRDefault="00590A73" w:rsidP="00590A73">
      <w:pPr>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abordarea strategiei energetice s-a pornit de la premisa realizării unor proiecte de investiții prioritare pentru atingerea obiectivelor strategice în domeniul energiei și schimbărilor climatice. Investițiile prezentate sunt menite a dinamiza întregul sector energetic, fiind repere definitorii în programarea strategică pentru perioada 2020-2030. </w:t>
      </w:r>
    </w:p>
    <w:p w14:paraId="64D25457" w14:textId="77777777" w:rsidR="00590A73" w:rsidRPr="007C266E" w:rsidRDefault="00590A73" w:rsidP="00590A73">
      <w:pPr>
        <w:jc w:val="both"/>
        <w:rPr>
          <w:rFonts w:ascii="Times New Roman" w:hAnsi="Times New Roman" w:cs="Times New Roman"/>
          <w:noProof/>
          <w:sz w:val="23"/>
          <w:szCs w:val="23"/>
          <w:lang w:val="ro-RO"/>
        </w:rPr>
      </w:pPr>
      <w:r w:rsidRPr="007C266E">
        <w:rPr>
          <w:rFonts w:ascii="Times New Roman" w:hAnsi="Times New Roman" w:cs="Times New Roman"/>
          <w:noProof/>
          <w:sz w:val="23"/>
          <w:szCs w:val="23"/>
          <w:lang w:val="ro-RO"/>
        </w:rPr>
        <w:t xml:space="preserve">În cadrul proiectelor prioritare de investiții prezentate, promovarea investițiilor în capacități noi de producție a energiei electrice, cu emisii reduse de carbon reprezintă o componentă importantă în atingerea obiectivelor României pentru anul 2030, atât pe dimensiunea securitate energetică cât și pe cea de decarbonare. Dezvoltarea capacităților noi de producere a energiei electrice până în 2030 este importantă în special în contextul în care 80% din grupurile termoenergetice existente au durata de viață normală depășită, dar și a faptului că, în 2017, sectorul energetic genera peste 66% din emisiile GES (exclusiv LULUCF) contabilizate la nivel național. </w:t>
      </w:r>
      <w:r w:rsidRPr="007C266E">
        <w:rPr>
          <w:rFonts w:ascii="Times New Roman" w:hAnsi="Times New Roman" w:cs="Times New Roman"/>
          <w:noProof/>
          <w:sz w:val="23"/>
          <w:szCs w:val="23"/>
          <w:lang w:val="ro-RO"/>
        </w:rPr>
        <w:lastRenderedPageBreak/>
        <w:t>Astfel, România își propune înlocuirea unei importante capacități energetice pe bază de surse cu emisii crescute, cu capacități noi, eficiente și cu emisii reduse, pe gaze, energie nucleară și surse regenerabile de energie.</w:t>
      </w:r>
    </w:p>
    <w:p w14:paraId="38CFFD07" w14:textId="0E56DCC8" w:rsidR="00590A73" w:rsidRPr="007C266E" w:rsidRDefault="00590A73" w:rsidP="00590A73">
      <w:pPr>
        <w:jc w:val="both"/>
        <w:rPr>
          <w:rFonts w:ascii="Times New Roman" w:hAnsi="Times New Roman" w:cs="Times New Roman"/>
          <w:noProof/>
          <w:sz w:val="23"/>
          <w:szCs w:val="23"/>
          <w:lang w:val="ro-RO"/>
        </w:rPr>
      </w:pPr>
      <w:r w:rsidRPr="007C266E">
        <w:rPr>
          <w:rFonts w:ascii="Times New Roman" w:hAnsi="Times New Roman" w:cs="Times New Roman"/>
          <w:noProof/>
          <w:sz w:val="23"/>
          <w:szCs w:val="23"/>
          <w:lang w:val="ro-RO"/>
        </w:rPr>
        <w:t>În contextul politicilor europene actuale de decarbonare, care au drept rezultat utilizarea din ce în ce mai redusă a combustibililor fosili și mai ales a cărbunelui, implementarea Planului de dezvoltare și decarbonare al CE Oltenia are un rol deosebit în direcțiile strategice de dezvoltare a sectorului energetic, în vederea realizării unei tranziții realiste și sustenabile către o producție de energie electrică cu emisii cât mai reduse de carbon, în speță, transferul de la capacitățile pe cărbune la cele pe gaze naturale și surse regenerabile de energie. Acesta reprezintă un proiect de investiții prioritar în strategia energetică intrucât generează un impact pozitiv asupra emisiilor de CO</w:t>
      </w:r>
      <w:r w:rsidRPr="007C266E">
        <w:rPr>
          <w:rFonts w:ascii="Times New Roman" w:hAnsi="Times New Roman" w:cs="Times New Roman"/>
          <w:noProof/>
          <w:sz w:val="23"/>
          <w:szCs w:val="23"/>
          <w:vertAlign w:val="subscript"/>
          <w:lang w:val="ro-RO"/>
        </w:rPr>
        <w:t>2</w:t>
      </w:r>
      <w:r w:rsidRPr="007C266E">
        <w:rPr>
          <w:rFonts w:ascii="Times New Roman" w:hAnsi="Times New Roman" w:cs="Times New Roman"/>
          <w:noProof/>
          <w:sz w:val="23"/>
          <w:szCs w:val="23"/>
          <w:lang w:val="ro-RO"/>
        </w:rPr>
        <w:t xml:space="preserve"> în producerea de energie electrică și contribuie la asigurarea securității energetice și reducerea dependenței de resursele energetice externe. </w:t>
      </w:r>
    </w:p>
    <w:p w14:paraId="1E2AB5E9" w14:textId="77777777" w:rsidR="00590A73" w:rsidRPr="007C266E" w:rsidRDefault="00590A73" w:rsidP="00590A73">
      <w:pPr>
        <w:jc w:val="both"/>
        <w:rPr>
          <w:rFonts w:ascii="Times New Roman" w:hAnsi="Times New Roman" w:cs="Times New Roman"/>
          <w:noProof/>
          <w:sz w:val="23"/>
          <w:szCs w:val="23"/>
          <w:lang w:val="ro-RO"/>
        </w:rPr>
      </w:pPr>
      <w:r w:rsidRPr="007C266E">
        <w:rPr>
          <w:rFonts w:ascii="Times New Roman" w:eastAsia="Calibri" w:hAnsi="Times New Roman" w:cs="Times New Roman"/>
          <w:noProof/>
          <w:color w:val="000000"/>
          <w:sz w:val="23"/>
          <w:szCs w:val="23"/>
          <w:lang w:val="ro-RO"/>
        </w:rPr>
        <w:t xml:space="preserve">Energia nucleară reprezintă un alt element important pentru securitatea energetică a României și reducerea emisiilor de GES în sectorul de producere al energiei. Astfel, </w:t>
      </w:r>
      <w:r w:rsidRPr="007C266E">
        <w:rPr>
          <w:rFonts w:ascii="Times New Roman" w:hAnsi="Times New Roman" w:cs="Times New Roman"/>
          <w:noProof/>
          <w:sz w:val="23"/>
          <w:szCs w:val="23"/>
          <w:lang w:val="ro-RO"/>
        </w:rPr>
        <w:lastRenderedPageBreak/>
        <w:t>retehnologizarea și construcția de unități noi nucleare, precum și realizarea unor proiecte strategice ale Hidroelectrica (modernizări, retehnologizări, respectiv finalizarea principalelor obiective de investiții aflate în execuție), la care se adaugă investiții off-shore și centrale de acumulare prin pompaj,  vor contribui, de asemenea, la înlocuirea capacităților poluante și flexibilizarea sistemului energetic național.</w:t>
      </w:r>
    </w:p>
    <w:p w14:paraId="6791603E" w14:textId="49183377" w:rsidR="00590A73" w:rsidRDefault="00590A73" w:rsidP="00590A73">
      <w:pPr>
        <w:jc w:val="both"/>
        <w:rPr>
          <w:rFonts w:ascii="Times New Roman" w:hAnsi="Times New Roman" w:cs="Times New Roman"/>
          <w:sz w:val="23"/>
          <w:szCs w:val="23"/>
          <w:lang w:val="ro-RO"/>
        </w:rPr>
      </w:pPr>
      <w:r w:rsidRPr="007C266E">
        <w:rPr>
          <w:rFonts w:ascii="Times New Roman" w:hAnsi="Times New Roman" w:cs="Times New Roman"/>
          <w:noProof/>
          <w:sz w:val="23"/>
          <w:szCs w:val="23"/>
          <w:lang w:val="ro-RO"/>
        </w:rPr>
        <w:t xml:space="preserve">Proiectele de </w:t>
      </w:r>
      <w:r w:rsidRPr="007C266E">
        <w:rPr>
          <w:rFonts w:ascii="Times New Roman" w:hAnsi="Times New Roman" w:cs="Times New Roman"/>
          <w:sz w:val="23"/>
          <w:szCs w:val="23"/>
          <w:lang w:val="ro-RO"/>
        </w:rPr>
        <w:t xml:space="preserve">investiții prioritare, necesare pe întreg lanțul sistemului energetic, fie că sunt investiții </w:t>
      </w:r>
      <w:r w:rsidRPr="007C266E">
        <w:rPr>
          <w:rFonts w:ascii="Times New Roman" w:hAnsi="Times New Roman" w:cs="Times New Roman"/>
          <w:b/>
          <w:sz w:val="23"/>
          <w:szCs w:val="23"/>
          <w:lang w:val="ro-RO"/>
        </w:rPr>
        <w:t xml:space="preserve">în producerea de energie cu emisii scăzute de carbon, prin substituirea utilizării cărbunelui cu gazele naturale și surse regenerabile de energie sau investiții în creșterea </w:t>
      </w:r>
      <w:r w:rsidRPr="007C266E">
        <w:rPr>
          <w:rFonts w:ascii="Times New Roman" w:hAnsi="Times New Roman" w:cs="Times New Roman"/>
          <w:sz w:val="23"/>
          <w:szCs w:val="23"/>
          <w:lang w:val="ro-RO"/>
        </w:rPr>
        <w:t xml:space="preserve"> </w:t>
      </w:r>
      <w:r w:rsidRPr="007C266E">
        <w:rPr>
          <w:rFonts w:ascii="Times New Roman" w:hAnsi="Times New Roman" w:cs="Times New Roman"/>
          <w:b/>
          <w:sz w:val="23"/>
          <w:szCs w:val="23"/>
          <w:lang w:val="ro-RO"/>
        </w:rPr>
        <w:t xml:space="preserve">capacităților energetice nucleare, investiții </w:t>
      </w:r>
      <w:r w:rsidRPr="007C266E">
        <w:rPr>
          <w:rFonts w:ascii="Times New Roman" w:hAnsi="Times New Roman" w:cs="Times New Roman"/>
          <w:sz w:val="23"/>
          <w:szCs w:val="23"/>
          <w:lang w:val="ro-RO"/>
        </w:rPr>
        <w:t xml:space="preserve"> </w:t>
      </w:r>
      <w:r w:rsidRPr="007C266E">
        <w:rPr>
          <w:rFonts w:ascii="Times New Roman" w:hAnsi="Times New Roman" w:cs="Times New Roman"/>
          <w:b/>
          <w:sz w:val="23"/>
          <w:szCs w:val="23"/>
          <w:lang w:val="ro-RO"/>
        </w:rPr>
        <w:t>în retehnologizarea şi modernizarea reţelelor de energie prin introducerea digitalizării şi a reţelelor inteligente (</w:t>
      </w:r>
      <w:r w:rsidRPr="007C266E">
        <w:rPr>
          <w:rFonts w:ascii="Times New Roman" w:hAnsi="Times New Roman" w:cs="Times New Roman"/>
          <w:b/>
          <w:i/>
          <w:sz w:val="23"/>
          <w:szCs w:val="23"/>
          <w:lang w:val="ro-RO"/>
        </w:rPr>
        <w:t>smart grid</w:t>
      </w:r>
      <w:r w:rsidRPr="007C266E">
        <w:rPr>
          <w:rFonts w:ascii="Times New Roman" w:hAnsi="Times New Roman" w:cs="Times New Roman"/>
          <w:sz w:val="23"/>
          <w:szCs w:val="23"/>
          <w:lang w:val="ro-RO"/>
        </w:rPr>
        <w:t xml:space="preserve">) sau </w:t>
      </w:r>
      <w:r w:rsidRPr="007C266E">
        <w:rPr>
          <w:rFonts w:ascii="Times New Roman" w:hAnsi="Times New Roman" w:cs="Times New Roman"/>
          <w:b/>
          <w:sz w:val="23"/>
          <w:szCs w:val="23"/>
          <w:lang w:val="ro-RO"/>
        </w:rPr>
        <w:t xml:space="preserve">realizarea şi finalizarea, după caz, a interconectărilor transfrontaliere cu ţările vecine și investiţii în capacităţile de stocare, toate au un aport decisiv la </w:t>
      </w:r>
      <w:r w:rsidRPr="007C266E">
        <w:rPr>
          <w:rFonts w:ascii="Times New Roman" w:hAnsi="Times New Roman" w:cs="Times New Roman"/>
          <w:sz w:val="23"/>
          <w:szCs w:val="23"/>
          <w:lang w:val="ro-RO"/>
        </w:rPr>
        <w:t xml:space="preserve">atingerea obiectivelor fundamentale ale României în domeniul energiei și climei, punctând în mod deosebit, asigurarea </w:t>
      </w:r>
      <w:r w:rsidRPr="007C266E">
        <w:rPr>
          <w:rFonts w:ascii="Times New Roman" w:hAnsi="Times New Roman" w:cs="Times New Roman"/>
          <w:sz w:val="23"/>
          <w:szCs w:val="23"/>
          <w:lang w:val="ro-RO"/>
        </w:rPr>
        <w:lastRenderedPageBreak/>
        <w:t xml:space="preserve">securității energetice la un preț sustenabil pentru consumatorii interni și conformarea cu cerințele în domeniul schimbărilor climatice. </w:t>
      </w:r>
    </w:p>
    <w:p w14:paraId="3EA93837" w14:textId="77777777" w:rsidR="00222C7F" w:rsidRPr="00222C7F" w:rsidRDefault="00222C7F" w:rsidP="00222C7F">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3"/>
          <w:szCs w:val="23"/>
          <w:lang w:val="ro-RO"/>
        </w:rPr>
      </w:pPr>
      <w:r w:rsidRPr="00222C7F">
        <w:rPr>
          <w:rFonts w:ascii="Times New Roman" w:hAnsi="Times New Roman" w:cs="Times New Roman"/>
          <w:b/>
          <w:sz w:val="23"/>
          <w:szCs w:val="23"/>
          <w:lang w:val="ro-RO"/>
        </w:rPr>
        <w:t>Alternativa prezentată în SER, care prevede implementarea proiectelor de investiții proritare, va asigura tranziţia către decarbonarea sistemului energetic și asigurarea securității energetice a României, cu îndeplinirea obiectivelor și țintelor de mediu naționale asumate pentru eficiență energetică, energie regenerabilă și emisii de GES.</w:t>
      </w:r>
    </w:p>
    <w:p w14:paraId="0CB38E87" w14:textId="77777777" w:rsidR="00222C7F" w:rsidRDefault="00222C7F" w:rsidP="00590A73">
      <w:pPr>
        <w:jc w:val="both"/>
        <w:rPr>
          <w:rFonts w:ascii="Times New Roman" w:hAnsi="Times New Roman" w:cs="Times New Roman"/>
          <w:sz w:val="23"/>
          <w:szCs w:val="23"/>
          <w:lang w:val="ro-RO"/>
        </w:rPr>
      </w:pPr>
    </w:p>
    <w:p w14:paraId="6F25D32E" w14:textId="77777777" w:rsidR="00E47896" w:rsidRPr="007C266E" w:rsidRDefault="00E47896" w:rsidP="00E47896">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Prin neindeplinirea proiectelor de investiții prioritare, România nu-și va putea atinge obiectivele și țintele în domeniul energiei și climei pentru anul 2030, întrucât nerealizarea investițiilor prezentate va avea un impact negativ semnificativ asupra îndeplinirii obiectivelor de reducere a emisiilor de gaze cu efect de seră, de creștere a ponderii surselor regenerabile de energie și asigurare a securității energetice a României pe perioada analizată.</w:t>
      </w:r>
    </w:p>
    <w:p w14:paraId="1923700B" w14:textId="77777777" w:rsidR="00E47896" w:rsidRPr="007C266E" w:rsidRDefault="00E47896" w:rsidP="00E47896">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3"/>
          <w:szCs w:val="23"/>
          <w:lang w:val="ro-RO"/>
        </w:rPr>
        <w:sectPr w:rsidR="00E47896" w:rsidRPr="007C266E" w:rsidSect="006B7D64">
          <w:type w:val="continuous"/>
          <w:pgSz w:w="12240" w:h="15840"/>
          <w:pgMar w:top="1440" w:right="1440" w:bottom="1440" w:left="1440" w:header="720" w:footer="720" w:gutter="0"/>
          <w:cols w:num="2" w:space="720"/>
          <w:docGrid w:linePitch="360"/>
        </w:sectPr>
      </w:pPr>
    </w:p>
    <w:p w14:paraId="6F1E2BC8" w14:textId="2DAA0104" w:rsidR="00D92F42" w:rsidRPr="007C266E" w:rsidRDefault="00D92F42" w:rsidP="004858EC">
      <w:pPr>
        <w:rPr>
          <w:rFonts w:ascii="Times New Roman" w:hAnsi="Times New Roman" w:cs="Times New Roman"/>
          <w:sz w:val="23"/>
          <w:szCs w:val="23"/>
          <w:highlight w:val="yellow"/>
          <w:lang w:val="ro-RO"/>
        </w:rPr>
      </w:pPr>
    </w:p>
    <w:p w14:paraId="73828918" w14:textId="77777777" w:rsidR="00D92F42" w:rsidRDefault="00D92F42" w:rsidP="004858EC">
      <w:pPr>
        <w:rPr>
          <w:rFonts w:ascii="Times New Roman" w:hAnsi="Times New Roman" w:cs="Times New Roman"/>
          <w:sz w:val="23"/>
          <w:szCs w:val="23"/>
          <w:highlight w:val="yellow"/>
          <w:lang w:val="ro-RO"/>
        </w:rPr>
      </w:pPr>
    </w:p>
    <w:p w14:paraId="4BFC447F" w14:textId="77777777" w:rsidR="00280D40" w:rsidRDefault="00280D40" w:rsidP="004858EC">
      <w:pPr>
        <w:rPr>
          <w:rFonts w:ascii="Times New Roman" w:hAnsi="Times New Roman" w:cs="Times New Roman"/>
          <w:sz w:val="23"/>
          <w:szCs w:val="23"/>
          <w:highlight w:val="yellow"/>
          <w:lang w:val="ro-RO"/>
        </w:rPr>
      </w:pPr>
    </w:p>
    <w:p w14:paraId="27DC8DBC" w14:textId="77777777" w:rsidR="00280D40" w:rsidRDefault="00280D40" w:rsidP="004858EC">
      <w:pPr>
        <w:rPr>
          <w:rFonts w:ascii="Times New Roman" w:hAnsi="Times New Roman" w:cs="Times New Roman"/>
          <w:sz w:val="23"/>
          <w:szCs w:val="23"/>
          <w:highlight w:val="yellow"/>
          <w:lang w:val="ro-RO"/>
        </w:rPr>
      </w:pPr>
    </w:p>
    <w:p w14:paraId="533637B8" w14:textId="77777777" w:rsidR="00280D40" w:rsidRDefault="00280D40" w:rsidP="004858EC">
      <w:pPr>
        <w:rPr>
          <w:rFonts w:ascii="Times New Roman" w:hAnsi="Times New Roman" w:cs="Times New Roman"/>
          <w:sz w:val="23"/>
          <w:szCs w:val="23"/>
          <w:highlight w:val="yellow"/>
          <w:lang w:val="ro-RO"/>
        </w:rPr>
      </w:pPr>
    </w:p>
    <w:p w14:paraId="62046030" w14:textId="77777777" w:rsidR="00280D40" w:rsidRDefault="00280D40" w:rsidP="004858EC">
      <w:pPr>
        <w:rPr>
          <w:rFonts w:ascii="Times New Roman" w:hAnsi="Times New Roman" w:cs="Times New Roman"/>
          <w:sz w:val="23"/>
          <w:szCs w:val="23"/>
          <w:highlight w:val="yellow"/>
          <w:lang w:val="ro-RO"/>
        </w:rPr>
      </w:pPr>
    </w:p>
    <w:p w14:paraId="5CEB032D" w14:textId="77777777" w:rsidR="00280D40" w:rsidRDefault="00280D40" w:rsidP="004858EC">
      <w:pPr>
        <w:rPr>
          <w:rFonts w:ascii="Times New Roman" w:hAnsi="Times New Roman" w:cs="Times New Roman"/>
          <w:sz w:val="23"/>
          <w:szCs w:val="23"/>
          <w:highlight w:val="yellow"/>
          <w:lang w:val="ro-RO"/>
        </w:rPr>
      </w:pPr>
    </w:p>
    <w:p w14:paraId="3EE5CB36" w14:textId="77777777" w:rsidR="00280D40" w:rsidRDefault="00280D40" w:rsidP="004858EC">
      <w:pPr>
        <w:rPr>
          <w:rFonts w:ascii="Times New Roman" w:hAnsi="Times New Roman" w:cs="Times New Roman"/>
          <w:sz w:val="23"/>
          <w:szCs w:val="23"/>
          <w:highlight w:val="yellow"/>
          <w:lang w:val="ro-RO"/>
        </w:rPr>
      </w:pPr>
    </w:p>
    <w:p w14:paraId="10B1A5BF" w14:textId="77777777" w:rsidR="00280D40" w:rsidRDefault="00280D40" w:rsidP="004858EC">
      <w:pPr>
        <w:rPr>
          <w:rFonts w:ascii="Times New Roman" w:hAnsi="Times New Roman" w:cs="Times New Roman"/>
          <w:sz w:val="23"/>
          <w:szCs w:val="23"/>
          <w:highlight w:val="yellow"/>
          <w:lang w:val="ro-RO"/>
        </w:rPr>
      </w:pPr>
    </w:p>
    <w:p w14:paraId="405E7B4F" w14:textId="741C54D9" w:rsidR="00473FBA" w:rsidRPr="007C266E" w:rsidRDefault="00417822" w:rsidP="00E47896">
      <w:pPr>
        <w:pStyle w:val="Heading1"/>
        <w:numPr>
          <w:ilvl w:val="0"/>
          <w:numId w:val="7"/>
        </w:numPr>
        <w:spacing w:line="240" w:lineRule="auto"/>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CONTEXTUL ACTUAL</w:t>
      </w:r>
      <w:bookmarkEnd w:id="31"/>
    </w:p>
    <w:p w14:paraId="03AD4A6A" w14:textId="77777777" w:rsidR="00EE4C0C" w:rsidRPr="007C266E" w:rsidRDefault="00EE4C0C" w:rsidP="00B03EBC">
      <w:pPr>
        <w:spacing w:line="240" w:lineRule="auto"/>
        <w:rPr>
          <w:rFonts w:ascii="Times New Roman" w:hAnsi="Times New Roman" w:cs="Times New Roman"/>
          <w:sz w:val="23"/>
          <w:szCs w:val="23"/>
          <w:lang w:val="ro-RO"/>
        </w:rPr>
      </w:pPr>
    </w:p>
    <w:p w14:paraId="2A0C6747" w14:textId="77777777" w:rsidR="00EE4C0C" w:rsidRPr="007C266E" w:rsidRDefault="00EE4C0C" w:rsidP="00B03EBC">
      <w:pPr>
        <w:spacing w:line="240" w:lineRule="auto"/>
        <w:rPr>
          <w:rFonts w:ascii="Times New Roman" w:hAnsi="Times New Roman" w:cs="Times New Roman"/>
          <w:sz w:val="23"/>
          <w:szCs w:val="23"/>
          <w:lang w:val="ro-RO"/>
        </w:rPr>
        <w:sectPr w:rsidR="00EE4C0C" w:rsidRPr="007C266E" w:rsidSect="0089425F">
          <w:type w:val="continuous"/>
          <w:pgSz w:w="12240" w:h="15840"/>
          <w:pgMar w:top="1440" w:right="1440" w:bottom="1440" w:left="1440" w:header="720" w:footer="720" w:gutter="0"/>
          <w:cols w:space="720"/>
          <w:docGrid w:linePitch="360"/>
        </w:sectPr>
      </w:pPr>
    </w:p>
    <w:p w14:paraId="38E2CD0F" w14:textId="77777777" w:rsidR="00C43C61" w:rsidRPr="007C266E" w:rsidRDefault="00C43C61" w:rsidP="00B03EBC">
      <w:pPr>
        <w:pStyle w:val="Heading2"/>
        <w:spacing w:line="240" w:lineRule="auto"/>
        <w:rPr>
          <w:rFonts w:ascii="Times New Roman" w:hAnsi="Times New Roman" w:cs="Times New Roman"/>
          <w:sz w:val="23"/>
          <w:szCs w:val="23"/>
          <w:lang w:val="ro-RO"/>
        </w:rPr>
      </w:pPr>
      <w:bookmarkStart w:id="32" w:name="_Toc44400864"/>
      <w:r w:rsidRPr="007C266E">
        <w:rPr>
          <w:rFonts w:ascii="Times New Roman" w:hAnsi="Times New Roman" w:cs="Times New Roman"/>
          <w:sz w:val="23"/>
          <w:szCs w:val="23"/>
          <w:lang w:val="ro-RO"/>
        </w:rPr>
        <w:lastRenderedPageBreak/>
        <w:t>IV.1.</w:t>
      </w:r>
      <w:r w:rsidRPr="007C266E">
        <w:rPr>
          <w:rFonts w:ascii="Times New Roman" w:hAnsi="Times New Roman" w:cs="Times New Roman"/>
          <w:sz w:val="23"/>
          <w:szCs w:val="23"/>
          <w:lang w:val="ro-RO"/>
        </w:rPr>
        <w:tab/>
        <w:t>Contextul global</w:t>
      </w:r>
      <w:bookmarkEnd w:id="32"/>
    </w:p>
    <w:p w14:paraId="6FE1901D" w14:textId="77777777" w:rsidR="00C43C61" w:rsidRPr="007C266E" w:rsidRDefault="00C43C61" w:rsidP="006E1D2D">
      <w:pPr>
        <w:spacing w:after="0" w:line="240" w:lineRule="auto"/>
        <w:jc w:val="both"/>
        <w:rPr>
          <w:rFonts w:ascii="Times New Roman" w:hAnsi="Times New Roman" w:cs="Times New Roman"/>
          <w:sz w:val="23"/>
          <w:szCs w:val="23"/>
          <w:lang w:val="ro-RO"/>
        </w:rPr>
      </w:pPr>
    </w:p>
    <w:p w14:paraId="3B62964E" w14:textId="77777777" w:rsidR="00C43C61" w:rsidRPr="007C266E" w:rsidRDefault="00C43C61" w:rsidP="0038022C">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Piețele internaționale de energie </w:t>
      </w:r>
      <w:r w:rsidR="00F711E9" w:rsidRPr="007C266E">
        <w:rPr>
          <w:rFonts w:ascii="Times New Roman" w:hAnsi="Times New Roman" w:cs="Times New Roman"/>
          <w:sz w:val="23"/>
          <w:szCs w:val="23"/>
          <w:lang w:val="ro-RO"/>
        </w:rPr>
        <w:t xml:space="preserve">se află </w:t>
      </w:r>
      <w:r w:rsidR="00473FBA" w:rsidRPr="007C266E">
        <w:rPr>
          <w:rFonts w:ascii="Times New Roman" w:hAnsi="Times New Roman" w:cs="Times New Roman"/>
          <w:sz w:val="23"/>
          <w:szCs w:val="23"/>
          <w:lang w:val="ro-RO"/>
        </w:rPr>
        <w:t>într-o schimbare dinamică și complexă</w:t>
      </w:r>
      <w:r w:rsidRPr="007C266E">
        <w:rPr>
          <w:rFonts w:ascii="Times New Roman" w:hAnsi="Times New Roman" w:cs="Times New Roman"/>
          <w:sz w:val="23"/>
          <w:szCs w:val="23"/>
          <w:lang w:val="ro-RO"/>
        </w:rPr>
        <w:t xml:space="preserve"> pe mai multe dimensiuni: tehnologică, climatică, geopolitică și economică. România trebuie să </w:t>
      </w:r>
      <w:r w:rsidR="00473FBA" w:rsidRPr="007C266E">
        <w:rPr>
          <w:rFonts w:ascii="Times New Roman" w:hAnsi="Times New Roman" w:cs="Times New Roman"/>
          <w:sz w:val="23"/>
          <w:szCs w:val="23"/>
          <w:lang w:val="ro-RO"/>
        </w:rPr>
        <w:t>anticipeze și să se poziționeze față</w:t>
      </w:r>
      <w:r w:rsidRPr="007C266E">
        <w:rPr>
          <w:rFonts w:ascii="Times New Roman" w:hAnsi="Times New Roman" w:cs="Times New Roman"/>
          <w:sz w:val="23"/>
          <w:szCs w:val="23"/>
          <w:lang w:val="ro-RO"/>
        </w:rPr>
        <w:t xml:space="preserve"> </w:t>
      </w:r>
      <w:r w:rsidR="007A5D52" w:rsidRPr="007C266E">
        <w:rPr>
          <w:rFonts w:ascii="Times New Roman" w:hAnsi="Times New Roman" w:cs="Times New Roman"/>
          <w:sz w:val="23"/>
          <w:szCs w:val="23"/>
          <w:lang w:val="ro-RO"/>
        </w:rPr>
        <w:t xml:space="preserve">de </w:t>
      </w:r>
      <w:r w:rsidRPr="007C266E">
        <w:rPr>
          <w:rFonts w:ascii="Times New Roman" w:hAnsi="Times New Roman" w:cs="Times New Roman"/>
          <w:sz w:val="23"/>
          <w:szCs w:val="23"/>
          <w:lang w:val="ro-RO"/>
        </w:rPr>
        <w:t>tendințele de pe pieț</w:t>
      </w:r>
      <w:r w:rsidR="007A5D52" w:rsidRPr="007C266E">
        <w:rPr>
          <w:rFonts w:ascii="Times New Roman" w:hAnsi="Times New Roman" w:cs="Times New Roman"/>
          <w:sz w:val="23"/>
          <w:szCs w:val="23"/>
          <w:lang w:val="ro-RO"/>
        </w:rPr>
        <w:t>ele internaționale, precum și față de</w:t>
      </w:r>
      <w:r w:rsidRPr="007C266E">
        <w:rPr>
          <w:rFonts w:ascii="Times New Roman" w:hAnsi="Times New Roman" w:cs="Times New Roman"/>
          <w:sz w:val="23"/>
          <w:szCs w:val="23"/>
          <w:lang w:val="ro-RO"/>
        </w:rPr>
        <w:t xml:space="preserve"> reașezările geopolitice c</w:t>
      </w:r>
      <w:r w:rsidR="007A5D52" w:rsidRPr="007C266E">
        <w:rPr>
          <w:rFonts w:ascii="Times New Roman" w:hAnsi="Times New Roman" w:cs="Times New Roman"/>
          <w:sz w:val="23"/>
          <w:szCs w:val="23"/>
          <w:lang w:val="ro-RO"/>
        </w:rPr>
        <w:t>ar</w:t>
      </w:r>
      <w:r w:rsidRPr="007C266E">
        <w:rPr>
          <w:rFonts w:ascii="Times New Roman" w:hAnsi="Times New Roman" w:cs="Times New Roman"/>
          <w:sz w:val="23"/>
          <w:szCs w:val="23"/>
          <w:lang w:val="ro-RO"/>
        </w:rPr>
        <w:t>e influențează parteneriatele strategice.</w:t>
      </w:r>
    </w:p>
    <w:p w14:paraId="502D0C38" w14:textId="77777777" w:rsidR="00C43C61" w:rsidRPr="007C266E" w:rsidRDefault="00C43C61" w:rsidP="00A86877">
      <w:pPr>
        <w:spacing w:after="0" w:line="240" w:lineRule="auto"/>
        <w:jc w:val="both"/>
        <w:rPr>
          <w:rFonts w:ascii="Times New Roman" w:hAnsi="Times New Roman" w:cs="Times New Roman"/>
          <w:sz w:val="23"/>
          <w:szCs w:val="23"/>
          <w:lang w:val="ro-RO"/>
        </w:rPr>
      </w:pPr>
    </w:p>
    <w:p w14:paraId="6B3AB109" w14:textId="77777777" w:rsidR="00C43C61" w:rsidRPr="007C266E" w:rsidRDefault="00C43C61" w:rsidP="00A86877">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Transformări tehnologice</w:t>
      </w:r>
    </w:p>
    <w:p w14:paraId="45A6874D"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20A17781"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Multiplele dezvoltări tehnologice, susținute de prețurile relativ mari ale energiei după anul 2000 și de subvenții de la bugetele publice, au dus în ultimii ani la o producție crescută de energie. Pe piețele europene, influențate de politicile de eficiență energetică, a avut loc o ușoară scădere a cererii de energie, </w:t>
      </w:r>
      <w:r w:rsidR="00A823A1" w:rsidRPr="007C266E">
        <w:rPr>
          <w:rFonts w:ascii="Times New Roman" w:hAnsi="Times New Roman" w:cs="Times New Roman"/>
          <w:sz w:val="23"/>
          <w:szCs w:val="23"/>
          <w:lang w:val="ro-RO"/>
        </w:rPr>
        <w:t>dar și</w:t>
      </w:r>
      <w:r w:rsidRPr="007C266E">
        <w:rPr>
          <w:rFonts w:ascii="Times New Roman" w:hAnsi="Times New Roman" w:cs="Times New Roman"/>
          <w:sz w:val="23"/>
          <w:szCs w:val="23"/>
          <w:lang w:val="ro-RO"/>
        </w:rPr>
        <w:t xml:space="preserve"> o diversificare a ofertei. </w:t>
      </w:r>
    </w:p>
    <w:p w14:paraId="6D72643B"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6C5FE12" w14:textId="77777777" w:rsidR="00E47896"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Tehnologia extracției hidrocarburilor „de șist” a dus la o răsturnare a ierarhiei mondiale a producătorilor de țiței și gaz</w:t>
      </w:r>
      <w:r w:rsidR="007A5D52"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natural</w:t>
      </w:r>
      <w:r w:rsidR="007A5D52"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Scăderea spectaculoasă a costurilor de producție a energiei din SRE, promisiunea stocării energiei electrice la scară comercială în următorii ani, emergența electromobilității, </w:t>
      </w:r>
    </w:p>
    <w:p w14:paraId="4867EB43" w14:textId="77777777" w:rsidR="00E47896" w:rsidRDefault="00E47896" w:rsidP="009E5804">
      <w:pPr>
        <w:spacing w:after="0" w:line="240" w:lineRule="auto"/>
        <w:jc w:val="both"/>
        <w:rPr>
          <w:rFonts w:ascii="Times New Roman" w:hAnsi="Times New Roman" w:cs="Times New Roman"/>
          <w:sz w:val="23"/>
          <w:szCs w:val="23"/>
          <w:lang w:val="ro-RO"/>
        </w:rPr>
      </w:pPr>
    </w:p>
    <w:p w14:paraId="55B95383" w14:textId="77777777" w:rsidR="00E47896" w:rsidRDefault="00E47896" w:rsidP="009E5804">
      <w:pPr>
        <w:spacing w:after="0" w:line="240" w:lineRule="auto"/>
        <w:jc w:val="both"/>
        <w:rPr>
          <w:rFonts w:ascii="Times New Roman" w:hAnsi="Times New Roman" w:cs="Times New Roman"/>
          <w:sz w:val="23"/>
          <w:szCs w:val="23"/>
          <w:lang w:val="ro-RO"/>
        </w:rPr>
      </w:pPr>
    </w:p>
    <w:p w14:paraId="587C1981" w14:textId="44B0A99E" w:rsidR="00F711E9"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progresul sistemelor de gestiune a consumului de energie</w:t>
      </w:r>
      <w:r w:rsidR="00A823A1" w:rsidRPr="007C266E">
        <w:rPr>
          <w:rFonts w:ascii="Times New Roman" w:hAnsi="Times New Roman" w:cs="Times New Roman"/>
          <w:sz w:val="23"/>
          <w:szCs w:val="23"/>
          <w:lang w:val="ro-RO"/>
        </w:rPr>
        <w:t xml:space="preserve"> și</w:t>
      </w:r>
      <w:r w:rsidRPr="007C266E">
        <w:rPr>
          <w:rFonts w:ascii="Times New Roman" w:hAnsi="Times New Roman" w:cs="Times New Roman"/>
          <w:sz w:val="23"/>
          <w:szCs w:val="23"/>
          <w:lang w:val="ro-RO"/>
        </w:rPr>
        <w:t xml:space="preserve"> digitalizarea constituie provocări la adresa paradigmei convenționale de producție, transport și consum al energiei. </w:t>
      </w:r>
    </w:p>
    <w:p w14:paraId="2BEB3D43" w14:textId="77777777" w:rsidR="00F711E9" w:rsidRPr="007C266E" w:rsidRDefault="00F711E9" w:rsidP="009E5804">
      <w:pPr>
        <w:spacing w:after="0" w:line="240" w:lineRule="auto"/>
        <w:jc w:val="both"/>
        <w:rPr>
          <w:rFonts w:ascii="Times New Roman" w:hAnsi="Times New Roman" w:cs="Times New Roman"/>
          <w:sz w:val="23"/>
          <w:szCs w:val="23"/>
          <w:lang w:val="ro-RO"/>
        </w:rPr>
      </w:pPr>
    </w:p>
    <w:p w14:paraId="7A99ED2E" w14:textId="77777777" w:rsidR="00C43C61" w:rsidRPr="007C266E" w:rsidRDefault="00C43C61"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Planificatorii de politici energetice și decidenții companiilor din sector operează într-un mediu </w:t>
      </w:r>
      <w:r w:rsidR="0025001D" w:rsidRPr="007C266E">
        <w:rPr>
          <w:rFonts w:ascii="Times New Roman" w:hAnsi="Times New Roman" w:cs="Times New Roman"/>
          <w:b/>
          <w:sz w:val="23"/>
          <w:szCs w:val="23"/>
          <w:lang w:val="ro-RO"/>
        </w:rPr>
        <w:t xml:space="preserve">al unor </w:t>
      </w:r>
      <w:r w:rsidRPr="007C266E">
        <w:rPr>
          <w:rFonts w:ascii="Times New Roman" w:hAnsi="Times New Roman" w:cs="Times New Roman"/>
          <w:b/>
          <w:sz w:val="23"/>
          <w:szCs w:val="23"/>
          <w:lang w:val="ro-RO"/>
        </w:rPr>
        <w:t>noi oportunități</w:t>
      </w:r>
      <w:r w:rsidR="00ED31E0" w:rsidRPr="007C266E">
        <w:rPr>
          <w:rFonts w:ascii="Times New Roman" w:hAnsi="Times New Roman" w:cs="Times New Roman"/>
          <w:b/>
          <w:sz w:val="23"/>
          <w:szCs w:val="23"/>
          <w:lang w:val="ro-RO"/>
        </w:rPr>
        <w:t xml:space="preserve"> și extrem de dinamic</w:t>
      </w:r>
      <w:r w:rsidRPr="007C266E">
        <w:rPr>
          <w:rFonts w:ascii="Times New Roman" w:hAnsi="Times New Roman" w:cs="Times New Roman"/>
          <w:b/>
          <w:sz w:val="23"/>
          <w:szCs w:val="23"/>
          <w:lang w:val="ro-RO"/>
        </w:rPr>
        <w:t>.</w:t>
      </w:r>
    </w:p>
    <w:p w14:paraId="7E2D069A"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0633CC1" w14:textId="77777777" w:rsidR="00C43C61" w:rsidRPr="007C266E" w:rsidRDefault="00C43C61" w:rsidP="00C738B6">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Transformarea sectorului energiei electrice are loc în ritm accelerat, prin extinderea ponderii SRE și prin „revoluția” digitală, ce constă în dezvoltarea de rețele inteligente cu coordonare </w:t>
      </w:r>
      <w:r w:rsidRPr="007C266E">
        <w:rPr>
          <w:rFonts w:ascii="Times New Roman" w:hAnsi="Times New Roman" w:cs="Times New Roman"/>
          <w:sz w:val="23"/>
          <w:szCs w:val="23"/>
          <w:lang w:val="ro-RO"/>
        </w:rPr>
        <w:lastRenderedPageBreak/>
        <w:t>în timp real și cu comunicare în dublu sens, susținute de creșterea capa</w:t>
      </w:r>
      <w:r w:rsidR="007A5D52" w:rsidRPr="007C266E">
        <w:rPr>
          <w:rFonts w:ascii="Times New Roman" w:hAnsi="Times New Roman" w:cs="Times New Roman"/>
          <w:sz w:val="23"/>
          <w:szCs w:val="23"/>
          <w:lang w:val="ro-RO"/>
        </w:rPr>
        <w:t>cității de analiză și transmitere</w:t>
      </w:r>
      <w:r w:rsidRPr="007C266E">
        <w:rPr>
          <w:rFonts w:ascii="Times New Roman" w:hAnsi="Times New Roman" w:cs="Times New Roman"/>
          <w:sz w:val="23"/>
          <w:szCs w:val="23"/>
          <w:lang w:val="ro-RO"/>
        </w:rPr>
        <w:t xml:space="preserve"> a volumelor mari de date, cu optimizarea consumului de energie. Ponderea crescândă a producției </w:t>
      </w:r>
      <w:r w:rsidR="007A5D52" w:rsidRPr="007C266E">
        <w:rPr>
          <w:rFonts w:ascii="Times New Roman" w:hAnsi="Times New Roman" w:cs="Times New Roman"/>
          <w:sz w:val="23"/>
          <w:szCs w:val="23"/>
          <w:lang w:val="ro-RO"/>
        </w:rPr>
        <w:t xml:space="preserve">de energie din surse </w:t>
      </w:r>
      <w:r w:rsidRPr="007C266E">
        <w:rPr>
          <w:rFonts w:ascii="Times New Roman" w:hAnsi="Times New Roman" w:cs="Times New Roman"/>
          <w:sz w:val="23"/>
          <w:szCs w:val="23"/>
          <w:lang w:val="ro-RO"/>
        </w:rPr>
        <w:t>eoliene și fotovoltaice</w:t>
      </w:r>
      <w:r w:rsidR="002002AC"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 xml:space="preserve">ridică problema </w:t>
      </w:r>
      <w:r w:rsidR="002002AC" w:rsidRPr="007C266E">
        <w:rPr>
          <w:rFonts w:ascii="Times New Roman" w:hAnsi="Times New Roman" w:cs="Times New Roman"/>
          <w:sz w:val="23"/>
          <w:szCs w:val="23"/>
          <w:lang w:val="ro-RO"/>
        </w:rPr>
        <w:t>a</w:t>
      </w:r>
      <w:r w:rsidR="00AB2EB9" w:rsidRPr="007C266E">
        <w:rPr>
          <w:rFonts w:ascii="Times New Roman" w:hAnsi="Times New Roman" w:cs="Times New Roman"/>
          <w:sz w:val="23"/>
          <w:szCs w:val="23"/>
          <w:lang w:val="ro-RO"/>
        </w:rPr>
        <w:t>decvanței</w:t>
      </w:r>
      <w:r w:rsidRPr="007C266E">
        <w:rPr>
          <w:rFonts w:ascii="Times New Roman" w:hAnsi="Times New Roman" w:cs="Times New Roman"/>
          <w:sz w:val="23"/>
          <w:szCs w:val="23"/>
          <w:lang w:val="ro-RO"/>
        </w:rPr>
        <w:t xml:space="preserve"> SEN și a regulilor de funcționare a piețelor de energie electrică. Pe termen lung, creșterea producţiei descentralizate de energie electrică poate duce la un grad sporit de reziliență, prin reorganizarea întregului sistem de transport şi distribuție, în condiţiile apariției consumatorilor activi (</w:t>
      </w:r>
      <w:r w:rsidR="00F46422" w:rsidRPr="007C266E">
        <w:rPr>
          <w:rFonts w:ascii="Times New Roman" w:hAnsi="Times New Roman" w:cs="Times New Roman"/>
          <w:sz w:val="23"/>
          <w:szCs w:val="23"/>
          <w:lang w:val="ro-RO"/>
        </w:rPr>
        <w:t>prosumator</w:t>
      </w:r>
      <w:r w:rsidRPr="007C266E">
        <w:rPr>
          <w:rFonts w:ascii="Times New Roman" w:hAnsi="Times New Roman" w:cs="Times New Roman"/>
          <w:sz w:val="23"/>
          <w:szCs w:val="23"/>
          <w:lang w:val="ro-RO"/>
        </w:rPr>
        <w:t>) şi a maturizării capacităților de stocare a energiei electrice.</w:t>
      </w:r>
    </w:p>
    <w:p w14:paraId="1A1E86DE" w14:textId="77777777" w:rsidR="00C738B6" w:rsidRPr="007C266E" w:rsidRDefault="00C738B6" w:rsidP="002F5C09">
      <w:pPr>
        <w:spacing w:after="0" w:line="240" w:lineRule="auto"/>
        <w:jc w:val="both"/>
        <w:rPr>
          <w:rFonts w:ascii="Times New Roman" w:hAnsi="Times New Roman" w:cs="Times New Roman"/>
          <w:sz w:val="23"/>
          <w:szCs w:val="23"/>
          <w:lang w:val="ro-RO"/>
        </w:rPr>
      </w:pPr>
    </w:p>
    <w:p w14:paraId="2028A274"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Atenuarea schimbărilor climatice</w:t>
      </w:r>
    </w:p>
    <w:p w14:paraId="51ED11A2" w14:textId="77777777" w:rsidR="00A823A1" w:rsidRPr="007C266E" w:rsidRDefault="00A823A1" w:rsidP="009E5804">
      <w:pPr>
        <w:spacing w:after="0" w:line="240" w:lineRule="auto"/>
        <w:jc w:val="both"/>
        <w:rPr>
          <w:rFonts w:ascii="Times New Roman" w:hAnsi="Times New Roman" w:cs="Times New Roman"/>
          <w:b/>
          <w:sz w:val="23"/>
          <w:szCs w:val="23"/>
          <w:lang w:val="ro-RO"/>
        </w:rPr>
      </w:pPr>
    </w:p>
    <w:p w14:paraId="0ECA575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Politicile climatice și de mediu, centrate pe diminuarea emisiilor de GES și pe schimbarea atitudinilor sociale în favoarea „energiilor curate” constituie un al doilea factor determinant, c</w:t>
      </w:r>
      <w:r w:rsidR="007A5D52" w:rsidRPr="007C266E">
        <w:rPr>
          <w:rFonts w:ascii="Times New Roman" w:hAnsi="Times New Roman" w:cs="Times New Roman"/>
          <w:sz w:val="23"/>
          <w:szCs w:val="23"/>
          <w:lang w:val="ro-RO"/>
        </w:rPr>
        <w:t>ar</w:t>
      </w:r>
      <w:r w:rsidRPr="007C266E">
        <w:rPr>
          <w:rFonts w:ascii="Times New Roman" w:hAnsi="Times New Roman" w:cs="Times New Roman"/>
          <w:sz w:val="23"/>
          <w:szCs w:val="23"/>
          <w:lang w:val="ro-RO"/>
        </w:rPr>
        <w:t>e modelează comportamentul investițional și tiparele de</w:t>
      </w:r>
      <w:r w:rsidR="006B5452" w:rsidRPr="007C266E">
        <w:rPr>
          <w:rFonts w:ascii="Times New Roman" w:hAnsi="Times New Roman" w:cs="Times New Roman"/>
          <w:sz w:val="23"/>
          <w:szCs w:val="23"/>
          <w:lang w:val="ro-RO"/>
        </w:rPr>
        <w:t xml:space="preserve"> consum în sectorul energetic. </w:t>
      </w:r>
    </w:p>
    <w:p w14:paraId="0386204B"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B9195B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Acordul de la Paris din 2015 și politicile europene de prevenire a schimbărilor climatice contribuie la realizarea unui sistem energetic sustenabil. Potrivit IEA, în </w:t>
      </w:r>
      <w:r w:rsidR="007A5D52" w:rsidRPr="007C266E">
        <w:rPr>
          <w:rFonts w:ascii="Times New Roman" w:hAnsi="Times New Roman" w:cs="Times New Roman"/>
          <w:sz w:val="23"/>
          <w:szCs w:val="23"/>
          <w:lang w:val="ro-RO"/>
        </w:rPr>
        <w:t xml:space="preserve">anul </w:t>
      </w:r>
      <w:r w:rsidRPr="007C266E">
        <w:rPr>
          <w:rFonts w:ascii="Times New Roman" w:hAnsi="Times New Roman" w:cs="Times New Roman"/>
          <w:sz w:val="23"/>
          <w:szCs w:val="23"/>
          <w:lang w:val="ro-RO"/>
        </w:rPr>
        <w:t>2040</w:t>
      </w:r>
      <w:r w:rsidR="007A5D52"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majoritatea SRE vor fi competitive fără scheme de sprijin dedicate</w:t>
      </w:r>
      <w:r w:rsidR="00914863"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w:t>
      </w:r>
      <w:r w:rsidR="00914863" w:rsidRPr="007C266E">
        <w:rPr>
          <w:rFonts w:ascii="Times New Roman" w:hAnsi="Times New Roman" w:cs="Times New Roman"/>
          <w:sz w:val="23"/>
          <w:szCs w:val="23"/>
          <w:lang w:val="ro-RO"/>
        </w:rPr>
        <w:t>T</w:t>
      </w:r>
      <w:r w:rsidRPr="007C266E">
        <w:rPr>
          <w:rFonts w:ascii="Times New Roman" w:hAnsi="Times New Roman" w:cs="Times New Roman"/>
          <w:sz w:val="23"/>
          <w:szCs w:val="23"/>
          <w:lang w:val="ro-RO"/>
        </w:rPr>
        <w:t xml:space="preserve">ehnologia fotovoltaică va avea o scădere medie de cost </w:t>
      </w:r>
      <w:r w:rsidR="00914863" w:rsidRPr="007C266E">
        <w:rPr>
          <w:rFonts w:ascii="Times New Roman" w:hAnsi="Times New Roman" w:cs="Times New Roman"/>
          <w:sz w:val="23"/>
          <w:szCs w:val="23"/>
          <w:lang w:val="ro-RO"/>
        </w:rPr>
        <w:t xml:space="preserve">al capitalului </w:t>
      </w:r>
      <w:r w:rsidRPr="007C266E">
        <w:rPr>
          <w:rFonts w:ascii="Times New Roman" w:hAnsi="Times New Roman" w:cs="Times New Roman"/>
          <w:sz w:val="23"/>
          <w:szCs w:val="23"/>
          <w:lang w:val="ro-RO"/>
        </w:rPr>
        <w:t xml:space="preserve">de </w:t>
      </w:r>
      <w:r w:rsidR="00914863" w:rsidRPr="007C266E">
        <w:rPr>
          <w:rFonts w:ascii="Times New Roman" w:hAnsi="Times New Roman" w:cs="Times New Roman"/>
          <w:sz w:val="23"/>
          <w:szCs w:val="23"/>
          <w:lang w:val="ro-RO"/>
        </w:rPr>
        <w:t>20-50</w:t>
      </w:r>
      <w:r w:rsidRPr="007C266E">
        <w:rPr>
          <w:rFonts w:ascii="Times New Roman" w:hAnsi="Times New Roman" w:cs="Times New Roman"/>
          <w:sz w:val="23"/>
          <w:szCs w:val="23"/>
          <w:lang w:val="ro-RO"/>
        </w:rPr>
        <w:t xml:space="preserve">% până în 2040, iar tehnologia eoliană offshore va avea costuri </w:t>
      </w:r>
      <w:r w:rsidR="00914863" w:rsidRPr="007C266E">
        <w:rPr>
          <w:rFonts w:ascii="Times New Roman" w:hAnsi="Times New Roman" w:cs="Times New Roman"/>
          <w:sz w:val="23"/>
          <w:szCs w:val="23"/>
          <w:lang w:val="ro-RO"/>
        </w:rPr>
        <w:t xml:space="preserve">de capital </w:t>
      </w:r>
      <w:r w:rsidRPr="007C266E">
        <w:rPr>
          <w:rFonts w:ascii="Times New Roman" w:hAnsi="Times New Roman" w:cs="Times New Roman"/>
          <w:sz w:val="23"/>
          <w:szCs w:val="23"/>
          <w:lang w:val="ro-RO"/>
        </w:rPr>
        <w:t xml:space="preserve">cu cel puțin </w:t>
      </w:r>
      <w:r w:rsidR="00914863" w:rsidRPr="007C266E">
        <w:rPr>
          <w:rFonts w:ascii="Times New Roman" w:hAnsi="Times New Roman" w:cs="Times New Roman"/>
          <w:sz w:val="23"/>
          <w:szCs w:val="23"/>
          <w:lang w:val="ro-RO"/>
        </w:rPr>
        <w:t>20-35</w:t>
      </w:r>
      <w:r w:rsidRPr="007C266E">
        <w:rPr>
          <w:rFonts w:ascii="Times New Roman" w:hAnsi="Times New Roman" w:cs="Times New Roman"/>
          <w:sz w:val="23"/>
          <w:szCs w:val="23"/>
          <w:lang w:val="ro-RO"/>
        </w:rPr>
        <w:t>% mai mici (</w:t>
      </w:r>
      <w:r w:rsidR="00914863" w:rsidRPr="007C266E">
        <w:rPr>
          <w:rFonts w:ascii="Times New Roman" w:hAnsi="Times New Roman" w:cs="Times New Roman"/>
          <w:sz w:val="23"/>
          <w:szCs w:val="23"/>
          <w:lang w:val="ro-RO"/>
        </w:rPr>
        <w:t>Studiu „Technology pathways in decarbonisation scenarios”, 201</w:t>
      </w:r>
      <w:r w:rsidR="00493D0C" w:rsidRPr="007C266E">
        <w:rPr>
          <w:rFonts w:ascii="Times New Roman" w:hAnsi="Times New Roman" w:cs="Times New Roman"/>
          <w:sz w:val="23"/>
          <w:szCs w:val="23"/>
          <w:lang w:val="ro-RO"/>
        </w:rPr>
        <w:t>8</w:t>
      </w:r>
      <w:r w:rsidRPr="007C266E">
        <w:rPr>
          <w:rFonts w:ascii="Times New Roman" w:hAnsi="Times New Roman" w:cs="Times New Roman"/>
          <w:sz w:val="23"/>
          <w:szCs w:val="23"/>
          <w:lang w:val="ro-RO"/>
        </w:rPr>
        <w:t xml:space="preserve">). </w:t>
      </w:r>
    </w:p>
    <w:p w14:paraId="2B2A7237"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66C79CE"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Transformări economice</w:t>
      </w:r>
    </w:p>
    <w:p w14:paraId="5A8994CC" w14:textId="77777777" w:rsidR="00C43C61" w:rsidRPr="007C266E" w:rsidRDefault="006B5452"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6B1E4274"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Evoluția prețului petrolului influențează consumul global de energie și evoluția fluxurilor comerciale și investiționale la nivel mondial. Reducerea prețului aces</w:t>
      </w:r>
      <w:r w:rsidR="007A5D52" w:rsidRPr="007C266E">
        <w:rPr>
          <w:rFonts w:ascii="Times New Roman" w:hAnsi="Times New Roman" w:cs="Times New Roman"/>
          <w:sz w:val="23"/>
          <w:szCs w:val="23"/>
          <w:lang w:val="ro-RO"/>
        </w:rPr>
        <w:t>tuia în urmă cu doi ani a dus la scăderea prețului gazelor</w:t>
      </w:r>
      <w:r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lastRenderedPageBreak/>
        <w:t>natural</w:t>
      </w:r>
      <w:r w:rsidR="007A5D52"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și a energiei electrice, fapt favorabil pentru consumatori, dar care erodează capacitatea producătorilor de energie de a investi în proiecte de importanță strategică. Prin efect de domino, ieftinirea afectează și profitabilitatea investițiilor în SRE și în eficiență energetică, precum și ritmul de creștere al utilizării autovehiculelor cu propulsie electrică. Cu toate acestea, atractivitatea SRE rămâne relativ ridicată, atât timp cât costul tehnologiilor SRE continuă să scadă.</w:t>
      </w:r>
    </w:p>
    <w:p w14:paraId="02E84F02"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52BC4BD"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Comerțul internațional cu gaz este din ce în ce mai intens, prin creșterea ponderii </w:t>
      </w:r>
      <w:r w:rsidR="00BA1FBD" w:rsidRPr="007C266E">
        <w:rPr>
          <w:rFonts w:ascii="Times New Roman" w:hAnsi="Times New Roman" w:cs="Times New Roman"/>
          <w:sz w:val="23"/>
          <w:szCs w:val="23"/>
          <w:lang w:val="ro-RO"/>
        </w:rPr>
        <w:t>gazelor naturale</w:t>
      </w:r>
      <w:r w:rsidRPr="007C266E">
        <w:rPr>
          <w:rFonts w:ascii="Times New Roman" w:hAnsi="Times New Roman" w:cs="Times New Roman"/>
          <w:sz w:val="23"/>
          <w:szCs w:val="23"/>
          <w:lang w:val="ro-RO"/>
        </w:rPr>
        <w:t xml:space="preserve"> lichefiat</w:t>
      </w:r>
      <w:r w:rsidR="0025001D"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(GNL); </w:t>
      </w:r>
      <w:r w:rsidR="000B3BC8" w:rsidRPr="007C266E">
        <w:rPr>
          <w:rFonts w:ascii="Times New Roman" w:hAnsi="Times New Roman" w:cs="Times New Roman"/>
          <w:sz w:val="23"/>
          <w:szCs w:val="23"/>
          <w:lang w:val="ro-RO"/>
        </w:rPr>
        <w:t xml:space="preserve">cu </w:t>
      </w:r>
      <w:r w:rsidRPr="007C266E">
        <w:rPr>
          <w:rFonts w:ascii="Times New Roman" w:hAnsi="Times New Roman" w:cs="Times New Roman"/>
          <w:sz w:val="23"/>
          <w:szCs w:val="23"/>
          <w:lang w:val="ro-RO"/>
        </w:rPr>
        <w:t>dezvolta</w:t>
      </w:r>
      <w:r w:rsidR="000B3BC8" w:rsidRPr="007C266E">
        <w:rPr>
          <w:rFonts w:ascii="Times New Roman" w:hAnsi="Times New Roman" w:cs="Times New Roman"/>
          <w:sz w:val="23"/>
          <w:szCs w:val="23"/>
          <w:lang w:val="ro-RO"/>
        </w:rPr>
        <w:t>rea</w:t>
      </w:r>
      <w:r w:rsidRPr="007C266E">
        <w:rPr>
          <w:rFonts w:ascii="Times New Roman" w:hAnsi="Times New Roman" w:cs="Times New Roman"/>
          <w:sz w:val="23"/>
          <w:szCs w:val="23"/>
          <w:lang w:val="ro-RO"/>
        </w:rPr>
        <w:t xml:space="preserve"> substanțial</w:t>
      </w:r>
      <w:r w:rsidR="000B3BC8" w:rsidRPr="007C266E">
        <w:rPr>
          <w:rFonts w:ascii="Times New Roman" w:hAnsi="Times New Roman" w:cs="Times New Roman"/>
          <w:sz w:val="23"/>
          <w:szCs w:val="23"/>
          <w:lang w:val="ro-RO"/>
        </w:rPr>
        <w:t>ă a</w:t>
      </w:r>
      <w:r w:rsidRPr="007C266E">
        <w:rPr>
          <w:rFonts w:ascii="Times New Roman" w:hAnsi="Times New Roman" w:cs="Times New Roman"/>
          <w:sz w:val="23"/>
          <w:szCs w:val="23"/>
          <w:lang w:val="ro-RO"/>
        </w:rPr>
        <w:t xml:space="preserve"> capacit</w:t>
      </w:r>
      <w:r w:rsidR="000B3BC8" w:rsidRPr="007C266E">
        <w:rPr>
          <w:rFonts w:ascii="Times New Roman" w:hAnsi="Times New Roman" w:cs="Times New Roman"/>
          <w:sz w:val="23"/>
          <w:szCs w:val="23"/>
          <w:lang w:val="ro-RO"/>
        </w:rPr>
        <w:t>ății</w:t>
      </w:r>
      <w:r w:rsidRPr="007C266E">
        <w:rPr>
          <w:rFonts w:ascii="Times New Roman" w:hAnsi="Times New Roman" w:cs="Times New Roman"/>
          <w:sz w:val="23"/>
          <w:szCs w:val="23"/>
          <w:lang w:val="ro-RO"/>
        </w:rPr>
        <w:t xml:space="preserve"> terminalelor de lichefiere, în special în Australia și SUA. Prețul gazului se stabilește tot mai mult la nivel global, cu mici diferențe regionale, iar o pondere tot mai mare este dată de piețele spot, în detrimentul indexării la prețul petrolului, al prețurilor reglementate etc.</w:t>
      </w:r>
    </w:p>
    <w:p w14:paraId="1B27454E"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C9A861F"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Pe măsură ce unitățile de producere a energiei nucleare finalizate în anii 1970-</w:t>
      </w:r>
      <w:r w:rsidR="00894C32" w:rsidRPr="007C266E">
        <w:rPr>
          <w:rFonts w:ascii="Times New Roman" w:hAnsi="Times New Roman" w:cs="Times New Roman"/>
          <w:sz w:val="23"/>
          <w:szCs w:val="23"/>
          <w:lang w:val="ro-RO"/>
        </w:rPr>
        <w:t>19</w:t>
      </w:r>
      <w:r w:rsidRPr="007C266E">
        <w:rPr>
          <w:rFonts w:ascii="Times New Roman" w:hAnsi="Times New Roman" w:cs="Times New Roman"/>
          <w:sz w:val="23"/>
          <w:szCs w:val="23"/>
          <w:lang w:val="ro-RO"/>
        </w:rPr>
        <w:t>80 ajung la sfârșitul duratei de viață în 2030-</w:t>
      </w:r>
      <w:r w:rsidR="00894C32" w:rsidRPr="007C266E">
        <w:rPr>
          <w:rFonts w:ascii="Times New Roman" w:hAnsi="Times New Roman" w:cs="Times New Roman"/>
          <w:sz w:val="23"/>
          <w:szCs w:val="23"/>
          <w:lang w:val="ro-RO"/>
        </w:rPr>
        <w:t>20</w:t>
      </w:r>
      <w:r w:rsidRPr="007C266E">
        <w:rPr>
          <w:rFonts w:ascii="Times New Roman" w:hAnsi="Times New Roman" w:cs="Times New Roman"/>
          <w:sz w:val="23"/>
          <w:szCs w:val="23"/>
          <w:lang w:val="ro-RO"/>
        </w:rPr>
        <w:t>40, în numeroase state se pune problema</w:t>
      </w:r>
      <w:r w:rsidR="00602B0D" w:rsidRPr="007C266E">
        <w:rPr>
          <w:rFonts w:ascii="Times New Roman" w:hAnsi="Times New Roman" w:cs="Times New Roman"/>
          <w:sz w:val="23"/>
          <w:szCs w:val="23"/>
          <w:lang w:val="ro-RO"/>
        </w:rPr>
        <w:t xml:space="preserve"> retehnologizării/extinderii duratei de viață sau</w:t>
      </w:r>
      <w:r w:rsidRPr="007C266E">
        <w:rPr>
          <w:rFonts w:ascii="Times New Roman" w:hAnsi="Times New Roman" w:cs="Times New Roman"/>
          <w:sz w:val="23"/>
          <w:szCs w:val="23"/>
          <w:lang w:val="ro-RO"/>
        </w:rPr>
        <w:t xml:space="preserve"> înlocuirii acestor capacităț</w:t>
      </w:r>
      <w:r w:rsidR="00894C32" w:rsidRPr="007C266E">
        <w:rPr>
          <w:rFonts w:ascii="Times New Roman" w:hAnsi="Times New Roman" w:cs="Times New Roman"/>
          <w:sz w:val="23"/>
          <w:szCs w:val="23"/>
          <w:lang w:val="ro-RO"/>
        </w:rPr>
        <w:t>i</w:t>
      </w:r>
      <w:r w:rsidR="00602B0D" w:rsidRPr="007C266E">
        <w:rPr>
          <w:rFonts w:ascii="Times New Roman" w:hAnsi="Times New Roman" w:cs="Times New Roman"/>
          <w:sz w:val="23"/>
          <w:szCs w:val="23"/>
          <w:lang w:val="ro-RO"/>
        </w:rPr>
        <w:t xml:space="preserve"> cu alte tehnologii</w:t>
      </w:r>
      <w:r w:rsidRPr="007C266E">
        <w:rPr>
          <w:rFonts w:ascii="Times New Roman" w:hAnsi="Times New Roman" w:cs="Times New Roman"/>
          <w:sz w:val="23"/>
          <w:szCs w:val="23"/>
          <w:lang w:val="ro-RO"/>
        </w:rPr>
        <w:t>. Presiunea de a limita schimbările climatice va încuraja toate formele de energie fără emisii de GES.</w:t>
      </w:r>
    </w:p>
    <w:p w14:paraId="5F18235C" w14:textId="77777777" w:rsidR="00A86877" w:rsidRPr="007C266E" w:rsidRDefault="00A86877" w:rsidP="009E5804">
      <w:pPr>
        <w:spacing w:after="0" w:line="240" w:lineRule="auto"/>
        <w:jc w:val="both"/>
        <w:rPr>
          <w:rFonts w:ascii="Times New Roman" w:hAnsi="Times New Roman" w:cs="Times New Roman"/>
          <w:sz w:val="23"/>
          <w:szCs w:val="23"/>
          <w:lang w:val="ro-RO"/>
        </w:rPr>
      </w:pPr>
    </w:p>
    <w:p w14:paraId="4C8FB2BF" w14:textId="77777777" w:rsidR="00C43C61" w:rsidRPr="007C266E" w:rsidRDefault="00C43C61" w:rsidP="00A86877">
      <w:pPr>
        <w:pStyle w:val="Heading2"/>
        <w:spacing w:line="240" w:lineRule="auto"/>
        <w:rPr>
          <w:rFonts w:ascii="Times New Roman" w:hAnsi="Times New Roman" w:cs="Times New Roman"/>
          <w:color w:val="auto"/>
          <w:sz w:val="23"/>
          <w:szCs w:val="23"/>
          <w:lang w:val="ro-RO"/>
        </w:rPr>
      </w:pPr>
      <w:bookmarkStart w:id="33" w:name="_Toc44400865"/>
      <w:r w:rsidRPr="007C266E">
        <w:rPr>
          <w:rFonts w:ascii="Times New Roman" w:hAnsi="Times New Roman" w:cs="Times New Roman"/>
          <w:sz w:val="23"/>
          <w:szCs w:val="23"/>
          <w:lang w:val="ro-RO"/>
        </w:rPr>
        <w:t>IV.2.</w:t>
      </w:r>
      <w:r w:rsidRPr="007C266E">
        <w:rPr>
          <w:rFonts w:ascii="Times New Roman" w:hAnsi="Times New Roman" w:cs="Times New Roman"/>
          <w:sz w:val="23"/>
          <w:szCs w:val="23"/>
          <w:lang w:val="ro-RO"/>
        </w:rPr>
        <w:tab/>
        <w:t xml:space="preserve"> Contextul european – Uniunea Energetică</w:t>
      </w:r>
      <w:r w:rsidR="00A51599" w:rsidRPr="007C266E">
        <w:rPr>
          <w:rFonts w:ascii="Times New Roman" w:hAnsi="Times New Roman" w:cs="Times New Roman"/>
          <w:sz w:val="23"/>
          <w:szCs w:val="23"/>
          <w:lang w:val="ro-RO"/>
        </w:rPr>
        <w:t xml:space="preserve"> și Pactul Ecologic European</w:t>
      </w:r>
      <w:bookmarkEnd w:id="33"/>
    </w:p>
    <w:p w14:paraId="3FC938F5" w14:textId="77777777" w:rsidR="00C43C61" w:rsidRPr="007C266E" w:rsidRDefault="00C43C61" w:rsidP="006E1D2D">
      <w:pPr>
        <w:spacing w:after="0" w:line="240" w:lineRule="auto"/>
        <w:jc w:val="both"/>
        <w:rPr>
          <w:rFonts w:ascii="Times New Roman" w:hAnsi="Times New Roman" w:cs="Times New Roman"/>
          <w:sz w:val="23"/>
          <w:szCs w:val="23"/>
          <w:lang w:val="ro-RO"/>
        </w:rPr>
      </w:pPr>
    </w:p>
    <w:p w14:paraId="259AEB3E" w14:textId="77777777" w:rsidR="00C43C61" w:rsidRPr="007C266E" w:rsidRDefault="00C43C61" w:rsidP="0038022C">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Pachetul „Energie Curată pentru Toți”</w:t>
      </w:r>
    </w:p>
    <w:p w14:paraId="433F7401" w14:textId="77777777" w:rsidR="00C43C61" w:rsidRPr="007C266E" w:rsidRDefault="00C43C61" w:rsidP="00A86877">
      <w:pPr>
        <w:spacing w:after="0" w:line="240" w:lineRule="auto"/>
        <w:jc w:val="both"/>
        <w:rPr>
          <w:rFonts w:ascii="Times New Roman" w:hAnsi="Times New Roman" w:cs="Times New Roman"/>
          <w:sz w:val="23"/>
          <w:szCs w:val="23"/>
          <w:lang w:val="ro-RO"/>
        </w:rPr>
      </w:pPr>
    </w:p>
    <w:p w14:paraId="745212F7" w14:textId="77777777" w:rsidR="00C43C61" w:rsidRPr="007C266E" w:rsidRDefault="00C43C61"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Pe parcursul anului 2016, CE a prezentat două pachete de propuneri de reformă a politicilor europene în domeniul energiei, anticipate în 2015 prin Strategia-cadru a Uniunii Energetice. Aceste pachete sunt definitorii pentru sectorul energetic european, și implicit pentru cel românesc, în perioada 2020-2030, fiind menite să accelereze tranziția energetică în UE. </w:t>
      </w:r>
    </w:p>
    <w:p w14:paraId="0BAE8E50" w14:textId="77777777" w:rsidR="003037A4" w:rsidRPr="007C266E" w:rsidRDefault="003037A4" w:rsidP="00A86877">
      <w:pPr>
        <w:spacing w:after="0" w:line="240" w:lineRule="auto"/>
        <w:jc w:val="both"/>
        <w:rPr>
          <w:rFonts w:ascii="Times New Roman" w:hAnsi="Times New Roman" w:cs="Times New Roman"/>
          <w:sz w:val="23"/>
          <w:szCs w:val="23"/>
          <w:lang w:val="ro-RO"/>
        </w:rPr>
      </w:pPr>
    </w:p>
    <w:p w14:paraId="42963AD9" w14:textId="77777777" w:rsidR="00C43C61" w:rsidRPr="007C266E" w:rsidRDefault="00C43C61"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luna iulie 2016</w:t>
      </w:r>
      <w:r w:rsidR="003037A4"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a fost publicat un prim pachet de propuneri, cu privire la: reducerea emisiilor non-ETS în fiecare stat membru pentru perioada 2021-2030 (România are alocată o cotă de reducere de 2%), contabilizarea emisiil</w:t>
      </w:r>
      <w:r w:rsidR="007A5D52" w:rsidRPr="007C266E">
        <w:rPr>
          <w:rFonts w:ascii="Times New Roman" w:hAnsi="Times New Roman" w:cs="Times New Roman"/>
          <w:sz w:val="23"/>
          <w:szCs w:val="23"/>
          <w:lang w:val="ro-RO"/>
        </w:rPr>
        <w:t>or de GES</w:t>
      </w:r>
      <w:r w:rsidRPr="007C266E">
        <w:rPr>
          <w:rFonts w:ascii="Times New Roman" w:hAnsi="Times New Roman" w:cs="Times New Roman"/>
          <w:sz w:val="23"/>
          <w:szCs w:val="23"/>
          <w:lang w:val="ro-RO"/>
        </w:rPr>
        <w:t xml:space="preserve"> rezultate din utilizarea terenurilor, schimbarea destinației terenurilor și silvicultură, precum și o comunicare privind o strategie europeană pentru decarbonarea sectorului transporturilor.</w:t>
      </w:r>
    </w:p>
    <w:p w14:paraId="185C81FB"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FF34A4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La 30 noiembrie 2016, CE a prezentat al doile</w:t>
      </w:r>
      <w:r w:rsidR="003037A4" w:rsidRPr="007C266E">
        <w:rPr>
          <w:rFonts w:ascii="Times New Roman" w:hAnsi="Times New Roman" w:cs="Times New Roman"/>
          <w:sz w:val="23"/>
          <w:szCs w:val="23"/>
          <w:lang w:val="ro-RO"/>
        </w:rPr>
        <w:t>a pachet de reformă</w:t>
      </w:r>
      <w:r w:rsidRPr="007C266E">
        <w:rPr>
          <w:rFonts w:ascii="Times New Roman" w:hAnsi="Times New Roman" w:cs="Times New Roman"/>
          <w:sz w:val="23"/>
          <w:szCs w:val="23"/>
          <w:lang w:val="ro-RO"/>
        </w:rPr>
        <w:t>, intitulat „Energie Curată pentru Toți”, c</w:t>
      </w:r>
      <w:r w:rsidR="007A5D52" w:rsidRPr="007C266E">
        <w:rPr>
          <w:rFonts w:ascii="Times New Roman" w:hAnsi="Times New Roman" w:cs="Times New Roman"/>
          <w:sz w:val="23"/>
          <w:szCs w:val="23"/>
          <w:lang w:val="ro-RO"/>
        </w:rPr>
        <w:t>ar</w:t>
      </w:r>
      <w:r w:rsidRPr="007C266E">
        <w:rPr>
          <w:rFonts w:ascii="Times New Roman" w:hAnsi="Times New Roman" w:cs="Times New Roman"/>
          <w:sz w:val="23"/>
          <w:szCs w:val="23"/>
          <w:lang w:val="ro-RO"/>
        </w:rPr>
        <w:t xml:space="preserve">e include </w:t>
      </w:r>
      <w:r w:rsidR="003037A4" w:rsidRPr="007C266E">
        <w:rPr>
          <w:rFonts w:ascii="Times New Roman" w:hAnsi="Times New Roman" w:cs="Times New Roman"/>
          <w:sz w:val="23"/>
          <w:szCs w:val="23"/>
          <w:lang w:val="ro-RO"/>
        </w:rPr>
        <w:t xml:space="preserve">o serie de </w:t>
      </w:r>
      <w:r w:rsidRPr="007C266E">
        <w:rPr>
          <w:rFonts w:ascii="Times New Roman" w:hAnsi="Times New Roman" w:cs="Times New Roman"/>
          <w:sz w:val="23"/>
          <w:szCs w:val="23"/>
          <w:lang w:val="ro-RO"/>
        </w:rPr>
        <w:t>propuneri legislative de mare importanță</w:t>
      </w:r>
      <w:r w:rsidR="00E464E5" w:rsidRPr="007C266E">
        <w:rPr>
          <w:rFonts w:ascii="Times New Roman" w:hAnsi="Times New Roman" w:cs="Times New Roman"/>
          <w:sz w:val="23"/>
          <w:szCs w:val="23"/>
          <w:lang w:val="ro-RO"/>
        </w:rPr>
        <w:t xml:space="preserve">. Acestea </w:t>
      </w:r>
      <w:r w:rsidR="00177D2B" w:rsidRPr="007C266E">
        <w:rPr>
          <w:rFonts w:ascii="Times New Roman" w:hAnsi="Times New Roman" w:cs="Times New Roman"/>
          <w:sz w:val="23"/>
          <w:szCs w:val="23"/>
          <w:lang w:val="ro-RO"/>
        </w:rPr>
        <w:t>au intrat în vigoare la jumătatea anului 2019, în urma acordului politic al Consiliului și Parlamentului European și aduc următoarele modificări</w:t>
      </w:r>
      <w:r w:rsidRPr="007C266E">
        <w:rPr>
          <w:rFonts w:ascii="Times New Roman" w:hAnsi="Times New Roman" w:cs="Times New Roman"/>
          <w:sz w:val="23"/>
          <w:szCs w:val="23"/>
          <w:lang w:val="ro-RO"/>
        </w:rPr>
        <w:t xml:space="preserve">: </w:t>
      </w:r>
    </w:p>
    <w:p w14:paraId="23758CAA" w14:textId="77777777" w:rsidR="002A6B39" w:rsidRPr="007C266E" w:rsidRDefault="00C43C61" w:rsidP="002500F7">
      <w:pPr>
        <w:pStyle w:val="ListParagraph"/>
        <w:numPr>
          <w:ilvl w:val="0"/>
          <w:numId w:val="1"/>
        </w:numPr>
        <w:spacing w:after="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actualizarea directivelor privind SRE</w:t>
      </w:r>
      <w:r w:rsidR="002A6B39" w:rsidRPr="007C266E">
        <w:rPr>
          <w:rFonts w:ascii="Times New Roman" w:hAnsi="Times New Roman" w:cs="Times New Roman"/>
          <w:sz w:val="23"/>
          <w:szCs w:val="23"/>
          <w:lang w:val="ro-RO"/>
        </w:rPr>
        <w:t>: Directiva (UE) 2018/2001 a Parlamentului European și a Consiliului</w:t>
      </w:r>
      <w:r w:rsidR="00177D2B" w:rsidRPr="007C266E">
        <w:rPr>
          <w:rFonts w:ascii="Times New Roman" w:hAnsi="Times New Roman" w:cs="Times New Roman"/>
          <w:sz w:val="23"/>
          <w:szCs w:val="23"/>
          <w:lang w:val="ro-RO"/>
        </w:rPr>
        <w:t xml:space="preserve"> din 11 decembrie 2018 privind promovarea utilizării energiei din surse regenerabile (reformare)</w:t>
      </w:r>
      <w:r w:rsidR="002A6B39" w:rsidRPr="007C266E">
        <w:rPr>
          <w:rFonts w:ascii="Times New Roman" w:hAnsi="Times New Roman" w:cs="Times New Roman"/>
          <w:sz w:val="23"/>
          <w:szCs w:val="23"/>
          <w:lang w:val="ro-RO"/>
        </w:rPr>
        <w:t>;</w:t>
      </w:r>
    </w:p>
    <w:p w14:paraId="6FA22DCC" w14:textId="77777777" w:rsidR="002A6B39" w:rsidRPr="007C266E" w:rsidRDefault="00C43C61" w:rsidP="002500F7">
      <w:pPr>
        <w:pStyle w:val="ListParagraph"/>
        <w:numPr>
          <w:ilvl w:val="0"/>
          <w:numId w:val="1"/>
        </w:numPr>
        <w:spacing w:after="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w:t>
      </w:r>
      <w:r w:rsidR="002A6B39" w:rsidRPr="007C266E">
        <w:rPr>
          <w:rFonts w:ascii="Times New Roman" w:hAnsi="Times New Roman" w:cs="Times New Roman"/>
          <w:sz w:val="23"/>
          <w:szCs w:val="23"/>
          <w:lang w:val="ro-RO"/>
        </w:rPr>
        <w:t>ctualizarea</w:t>
      </w:r>
      <w:r w:rsidRPr="007C266E">
        <w:rPr>
          <w:rFonts w:ascii="Times New Roman" w:hAnsi="Times New Roman" w:cs="Times New Roman"/>
          <w:sz w:val="23"/>
          <w:szCs w:val="23"/>
          <w:lang w:val="ro-RO"/>
        </w:rPr>
        <w:t xml:space="preserve"> directivei privind eficiența energetică</w:t>
      </w:r>
      <w:r w:rsidR="002A6B39" w:rsidRPr="007C266E">
        <w:rPr>
          <w:rFonts w:ascii="Times New Roman" w:hAnsi="Times New Roman" w:cs="Times New Roman"/>
          <w:sz w:val="23"/>
          <w:szCs w:val="23"/>
          <w:lang w:val="ro-RO"/>
        </w:rPr>
        <w:t>: Directiva (UE) 2018/2002 a Parlamentului European și a Consiliului din 11 decembrie 2018 de modificare a Directivei 2012/27/UE privind eficiența energetică;</w:t>
      </w:r>
    </w:p>
    <w:p w14:paraId="3BC3D55C" w14:textId="77777777" w:rsidR="003037A4" w:rsidRPr="007C266E" w:rsidRDefault="002A6B39" w:rsidP="002500F7">
      <w:pPr>
        <w:pStyle w:val="ListParagraph"/>
        <w:numPr>
          <w:ilvl w:val="0"/>
          <w:numId w:val="1"/>
        </w:numPr>
        <w:spacing w:after="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actualizarea</w:t>
      </w:r>
      <w:r w:rsidR="00C43C61" w:rsidRPr="007C266E">
        <w:rPr>
          <w:rFonts w:ascii="Times New Roman" w:hAnsi="Times New Roman" w:cs="Times New Roman"/>
          <w:sz w:val="23"/>
          <w:szCs w:val="23"/>
          <w:lang w:val="ro-RO"/>
        </w:rPr>
        <w:t xml:space="preserve"> directivei privind performanța energetică a clădirilor</w:t>
      </w:r>
      <w:r w:rsidRPr="007C266E">
        <w:rPr>
          <w:rFonts w:ascii="Times New Roman" w:hAnsi="Times New Roman" w:cs="Times New Roman"/>
          <w:sz w:val="23"/>
          <w:szCs w:val="23"/>
          <w:lang w:val="ro-RO"/>
        </w:rPr>
        <w:t>: Directiva (UE) 2018/844 a Parlamentului European și a Consiliului din 30 mai 2018 de modificare a Directivei 2010/31/UE privind performanța energetică a clădirilor și a Directivei 2012/27/UE privind eficiența energetică</w:t>
      </w:r>
      <w:r w:rsidR="00C43C61" w:rsidRPr="007C266E">
        <w:rPr>
          <w:rFonts w:ascii="Times New Roman" w:hAnsi="Times New Roman" w:cs="Times New Roman"/>
          <w:sz w:val="23"/>
          <w:szCs w:val="23"/>
          <w:lang w:val="ro-RO"/>
        </w:rPr>
        <w:t xml:space="preserve">; </w:t>
      </w:r>
    </w:p>
    <w:p w14:paraId="62DCF3C6" w14:textId="77777777" w:rsidR="002A6B39" w:rsidRPr="007C266E" w:rsidRDefault="00C43C61" w:rsidP="002500F7">
      <w:pPr>
        <w:pStyle w:val="ListParagraph"/>
        <w:numPr>
          <w:ilvl w:val="0"/>
          <w:numId w:val="1"/>
        </w:numPr>
        <w:spacing w:after="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un nou design al pieței unice de energie electrică, ce presupune actualizarea directivei </w:t>
      </w:r>
      <w:r w:rsidR="002A6B39"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i regulamentului cu privire la regulile de funcționare a pieței</w:t>
      </w:r>
      <w:r w:rsidR="002A6B39" w:rsidRPr="007C266E">
        <w:rPr>
          <w:rFonts w:ascii="Times New Roman" w:hAnsi="Times New Roman" w:cs="Times New Roman"/>
          <w:sz w:val="23"/>
          <w:szCs w:val="23"/>
          <w:lang w:val="ro-RO"/>
        </w:rPr>
        <w:t xml:space="preserve">: Regulamentul (UE) 2019/943 al Parlamentului European și al Consiliului din 5 iunie 2019 privind piața internă de energie electrică (reformare) și Directiva (UE) 2019/944 a Parlamentului European și a Consiliului din 5 iunie 2019 privind normele comune pentru piața internă </w:t>
      </w:r>
      <w:r w:rsidR="002A6B39" w:rsidRPr="007C266E">
        <w:rPr>
          <w:rFonts w:ascii="Times New Roman" w:hAnsi="Times New Roman" w:cs="Times New Roman"/>
          <w:sz w:val="23"/>
          <w:szCs w:val="23"/>
          <w:lang w:val="ro-RO"/>
        </w:rPr>
        <w:lastRenderedPageBreak/>
        <w:t>de energie electrică și de modificare a Directivei 2012/27/UE (reformare);</w:t>
      </w:r>
    </w:p>
    <w:p w14:paraId="5180EC76" w14:textId="77777777" w:rsidR="00096A00" w:rsidRPr="007C266E" w:rsidRDefault="00096A00" w:rsidP="002500F7">
      <w:pPr>
        <w:pStyle w:val="ListParagraph"/>
        <w:numPr>
          <w:ilvl w:val="0"/>
          <w:numId w:val="1"/>
        </w:numPr>
        <w:spacing w:after="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Regulamentul (UE) 2019/942 al Parlamentului European și al Consiliului din 5 iunie 2019 de instituire a Agenției Uniunii Europene pentru Cooperarea Autorităților de Reglementare din Domeniul Energiei (reformare);</w:t>
      </w:r>
    </w:p>
    <w:p w14:paraId="59FC5C88" w14:textId="77777777" w:rsidR="003037A4" w:rsidRPr="007C266E" w:rsidRDefault="007B30D9" w:rsidP="002500F7">
      <w:pPr>
        <w:pStyle w:val="ListParagraph"/>
        <w:numPr>
          <w:ilvl w:val="0"/>
          <w:numId w:val="1"/>
        </w:numPr>
        <w:spacing w:after="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Regulamentul (UE) 2019/941 al Parlamentului European și al Consiliului din 5 iunie 2019 privind pregătirea pentru riscuri în sectorul energiei electrice și de abrogare a Directivei 2005/89/CE</w:t>
      </w:r>
      <w:r w:rsidR="00C43C61" w:rsidRPr="007C266E">
        <w:rPr>
          <w:rFonts w:ascii="Times New Roman" w:hAnsi="Times New Roman" w:cs="Times New Roman"/>
          <w:sz w:val="23"/>
          <w:szCs w:val="23"/>
          <w:lang w:val="ro-RO"/>
        </w:rPr>
        <w:t>;</w:t>
      </w:r>
    </w:p>
    <w:p w14:paraId="4176BC4D" w14:textId="77777777" w:rsidR="003037A4" w:rsidRPr="007C266E" w:rsidRDefault="00C43C61" w:rsidP="002500F7">
      <w:pPr>
        <w:pStyle w:val="ListParagraph"/>
        <w:numPr>
          <w:ilvl w:val="0"/>
          <w:numId w:val="1"/>
        </w:numPr>
        <w:spacing w:after="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un nou regulament cu privire la Guvernanța Uniunii Energetice menit să integreze, să simplifice și să coordoneze mai bine dialogul statelor membre cu CE și acțiunile statelor membre în vederea realizării obiectivelor Uniunii Energetice</w:t>
      </w:r>
      <w:r w:rsidR="007B30D9" w:rsidRPr="007C266E">
        <w:rPr>
          <w:rFonts w:ascii="Times New Roman" w:hAnsi="Times New Roman" w:cs="Times New Roman"/>
          <w:sz w:val="23"/>
          <w:szCs w:val="23"/>
          <w:lang w:val="ro-RO"/>
        </w:rPr>
        <w:t>: Regulamentul (UE) 2018/1999 al Parlamentului European și al Consiliului din 11 decembrie 2018 privind guvernanța uniunii energetice și a acțiunilor climatice, de modificare a Regulamentelor (CE) nr. 663/2009 și (CE) nr. 715/2009 ale Parlamentului European ș Regulamentul (UE) 2018/1999 al Parlamentului European și al Consiliului din 11 decembrie 2018 privind guvernanța uniuniarlamentului European și ale Consiliului, a Directivelor 2009/119/CE și (UE) 2015/652 ale Consiliului și de abrogare a Regulamentului (UE) nr. 525/2013 al Parlamentului European și al Consiliului</w:t>
      </w:r>
      <w:r w:rsidRPr="007C266E">
        <w:rPr>
          <w:rFonts w:ascii="Times New Roman" w:hAnsi="Times New Roman" w:cs="Times New Roman"/>
          <w:sz w:val="23"/>
          <w:szCs w:val="23"/>
          <w:lang w:val="ro-RO"/>
        </w:rPr>
        <w:t>;</w:t>
      </w:r>
    </w:p>
    <w:p w14:paraId="0322A939" w14:textId="77777777" w:rsidR="00C43C61" w:rsidRPr="007C266E" w:rsidRDefault="00C43C61" w:rsidP="002500F7">
      <w:pPr>
        <w:pStyle w:val="ListParagraph"/>
        <w:numPr>
          <w:ilvl w:val="0"/>
          <w:numId w:val="1"/>
        </w:numPr>
        <w:spacing w:after="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noi reglementări și decizii ale CE, precum și o serie de recomandări cu privire la eco-design , ce vizează cu precădere eficiența energetică și etichetarea echipamentelor pentru încălzire și răcire, precum și norme pentru procedurile generale de verificare a respectării standardelor de eco-design de către producători.</w:t>
      </w:r>
    </w:p>
    <w:p w14:paraId="63C29B9D"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3BD8C0D0" w14:textId="77777777" w:rsidR="00F02A89" w:rsidRPr="007C266E" w:rsidRDefault="00F02A89"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Pactul Ecologic European</w:t>
      </w:r>
    </w:p>
    <w:p w14:paraId="0569AFD3" w14:textId="77777777" w:rsidR="004D79B4" w:rsidRPr="007C266E" w:rsidRDefault="004D79B4" w:rsidP="009E5804">
      <w:pPr>
        <w:spacing w:after="0" w:line="240" w:lineRule="auto"/>
        <w:jc w:val="both"/>
        <w:rPr>
          <w:rFonts w:ascii="Times New Roman" w:hAnsi="Times New Roman" w:cs="Times New Roman"/>
          <w:b/>
          <w:sz w:val="23"/>
          <w:szCs w:val="23"/>
          <w:lang w:val="ro-RO"/>
        </w:rPr>
      </w:pPr>
    </w:p>
    <w:p w14:paraId="428AF756" w14:textId="229EE339" w:rsidR="00F02A89" w:rsidRPr="007C266E" w:rsidRDefault="00F02A89"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La sfârșitul anului 2019, CE a prezentat </w:t>
      </w:r>
      <w:r w:rsidR="004D79B4" w:rsidRPr="007C266E">
        <w:rPr>
          <w:rFonts w:ascii="Times New Roman" w:hAnsi="Times New Roman" w:cs="Times New Roman"/>
          <w:sz w:val="23"/>
          <w:szCs w:val="23"/>
          <w:lang w:val="ro-RO"/>
        </w:rPr>
        <w:t>o nouă propunere de abordare cu privire la provocările legate de climă și de mediu sub forma unei strategii de creștere</w:t>
      </w:r>
      <w:r w:rsidR="00331606" w:rsidRPr="007C266E">
        <w:rPr>
          <w:rFonts w:ascii="Times New Roman" w:hAnsi="Times New Roman" w:cs="Times New Roman"/>
          <w:sz w:val="23"/>
          <w:szCs w:val="23"/>
          <w:lang w:val="ro-RO"/>
        </w:rPr>
        <w:t>,</w:t>
      </w:r>
      <w:r w:rsidR="004D79B4" w:rsidRPr="007C266E">
        <w:rPr>
          <w:rFonts w:ascii="Times New Roman" w:hAnsi="Times New Roman" w:cs="Times New Roman"/>
          <w:sz w:val="23"/>
          <w:szCs w:val="23"/>
          <w:lang w:val="ro-RO"/>
        </w:rPr>
        <w:t xml:space="preserve"> cu obiectivul de a transforma UE într-o societate echitabilă </w:t>
      </w:r>
      <w:r w:rsidR="004D79B4" w:rsidRPr="007C266E">
        <w:rPr>
          <w:rFonts w:ascii="Times New Roman" w:hAnsi="Times New Roman" w:cs="Times New Roman"/>
          <w:sz w:val="23"/>
          <w:szCs w:val="23"/>
          <w:lang w:val="ro-RO"/>
        </w:rPr>
        <w:lastRenderedPageBreak/>
        <w:t>și prosperă, cu o economie modernă, competitivă și eficientă din punctul de vedere al utilizării resurselor, în care să nu existe emisii nete de gaze cu efect de seră în 2050 și în care creșterea economică să fie decuplată de utilizarea resurselor.</w:t>
      </w:r>
    </w:p>
    <w:p w14:paraId="683F753B" w14:textId="77777777" w:rsidR="004D79B4" w:rsidRPr="007C266E" w:rsidRDefault="004D79B4" w:rsidP="009E5804">
      <w:pPr>
        <w:spacing w:after="0" w:line="240" w:lineRule="auto"/>
        <w:jc w:val="both"/>
        <w:rPr>
          <w:rFonts w:ascii="Times New Roman" w:hAnsi="Times New Roman" w:cs="Times New Roman"/>
          <w:sz w:val="23"/>
          <w:szCs w:val="23"/>
          <w:lang w:val="ro-RO"/>
        </w:rPr>
      </w:pPr>
    </w:p>
    <w:p w14:paraId="65815437" w14:textId="77777777" w:rsidR="00C43C61" w:rsidRPr="007C266E" w:rsidRDefault="00331606"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perioada 2020 – 2021 CE își propune revizuirea acquis-ului comunitar în domeniu, cu scopul de a </w:t>
      </w:r>
      <w:r w:rsidR="00D14244" w:rsidRPr="007C266E">
        <w:rPr>
          <w:rFonts w:ascii="Times New Roman" w:hAnsi="Times New Roman" w:cs="Times New Roman"/>
          <w:sz w:val="23"/>
          <w:szCs w:val="23"/>
          <w:lang w:val="ro-RO"/>
        </w:rPr>
        <w:t xml:space="preserve">asigura îndeplinirea obiectivului UE de a deveni primul continent neutru din punct de vedere al climei la orizontul anului 2050. </w:t>
      </w:r>
      <w:r w:rsidR="00C43C61" w:rsidRPr="007C266E">
        <w:rPr>
          <w:rFonts w:ascii="Times New Roman" w:hAnsi="Times New Roman" w:cs="Times New Roman"/>
          <w:sz w:val="23"/>
          <w:szCs w:val="23"/>
          <w:lang w:val="ro-RO"/>
        </w:rPr>
        <w:t>Strategia orientează și fundamentează poziționarea României în raport cu aceste propuneri de reformă</w:t>
      </w:r>
      <w:r w:rsidRPr="007C266E">
        <w:rPr>
          <w:rFonts w:ascii="Times New Roman" w:hAnsi="Times New Roman" w:cs="Times New Roman"/>
          <w:sz w:val="23"/>
          <w:szCs w:val="23"/>
          <w:lang w:val="ro-RO"/>
        </w:rPr>
        <w:t xml:space="preserve">. </w:t>
      </w:r>
      <w:r w:rsidR="00C43C61" w:rsidRPr="007C266E">
        <w:rPr>
          <w:rFonts w:ascii="Times New Roman" w:hAnsi="Times New Roman" w:cs="Times New Roman"/>
          <w:sz w:val="23"/>
          <w:szCs w:val="23"/>
          <w:lang w:val="ro-RO"/>
        </w:rPr>
        <w:t>Strategia prezintă, prin obiectivele operaționale și acțiunile prioritare</w:t>
      </w:r>
      <w:r w:rsidR="003037A4" w:rsidRPr="007C266E">
        <w:rPr>
          <w:rFonts w:ascii="Times New Roman" w:hAnsi="Times New Roman" w:cs="Times New Roman"/>
          <w:sz w:val="23"/>
          <w:szCs w:val="23"/>
          <w:lang w:val="ro-RO"/>
        </w:rPr>
        <w:t>,</w:t>
      </w:r>
      <w:r w:rsidR="00C43C61" w:rsidRPr="007C266E">
        <w:rPr>
          <w:rFonts w:ascii="Times New Roman" w:hAnsi="Times New Roman" w:cs="Times New Roman"/>
          <w:sz w:val="23"/>
          <w:szCs w:val="23"/>
          <w:lang w:val="ro-RO"/>
        </w:rPr>
        <w:t xml:space="preserve"> opțiunile strategice de intervenție a statului român în sectorul energetic.</w:t>
      </w:r>
    </w:p>
    <w:p w14:paraId="2D889E85" w14:textId="77777777" w:rsidR="002123F0" w:rsidRPr="007C266E" w:rsidRDefault="002123F0" w:rsidP="009E5804">
      <w:pPr>
        <w:spacing w:after="0" w:line="240" w:lineRule="auto"/>
        <w:jc w:val="both"/>
        <w:rPr>
          <w:rFonts w:ascii="Times New Roman" w:hAnsi="Times New Roman" w:cs="Times New Roman"/>
          <w:sz w:val="23"/>
          <w:szCs w:val="23"/>
          <w:lang w:val="ro-RO"/>
        </w:rPr>
      </w:pPr>
    </w:p>
    <w:p w14:paraId="6D36144E" w14:textId="77777777" w:rsidR="002123F0" w:rsidRPr="007C266E" w:rsidRDefault="002123F0"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Tranziția echitabilă</w:t>
      </w:r>
    </w:p>
    <w:p w14:paraId="4EB5D2D2"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30659E14" w14:textId="74F98657" w:rsidR="00A57D49" w:rsidRPr="007C266E" w:rsidRDefault="002123F0"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Un aspect important în cadrul Pactului Ecologic European îl reprezintă </w:t>
      </w:r>
      <w:r w:rsidR="00841822" w:rsidRPr="007C266E">
        <w:rPr>
          <w:rFonts w:ascii="Times New Roman" w:hAnsi="Times New Roman" w:cs="Times New Roman"/>
          <w:sz w:val="23"/>
          <w:szCs w:val="23"/>
          <w:lang w:val="ro-RO"/>
        </w:rPr>
        <w:t xml:space="preserve">asigurarea unei tranziții energetice echitabile din punct de vedere social și economic. </w:t>
      </w:r>
      <w:r w:rsidR="00A57D49" w:rsidRPr="007C266E">
        <w:rPr>
          <w:rFonts w:ascii="Times New Roman" w:hAnsi="Times New Roman" w:cs="Times New Roman"/>
          <w:sz w:val="23"/>
          <w:szCs w:val="23"/>
          <w:lang w:val="ro-RO"/>
        </w:rPr>
        <w:t xml:space="preserve">În acest sens, CE va introduce Mecanismul pentru o tranziție echitabilă, </w:t>
      </w:r>
      <w:r w:rsidR="008D2887" w:rsidRPr="007C266E">
        <w:rPr>
          <w:rFonts w:ascii="Times New Roman" w:hAnsi="Times New Roman" w:cs="Times New Roman"/>
          <w:sz w:val="23"/>
          <w:szCs w:val="23"/>
          <w:lang w:val="ro-RO"/>
        </w:rPr>
        <w:t xml:space="preserve">inclusiv un Fond pentru o tranziție echitabilă, </w:t>
      </w:r>
      <w:r w:rsidR="00A57D49" w:rsidRPr="007C266E">
        <w:rPr>
          <w:rFonts w:ascii="Times New Roman" w:hAnsi="Times New Roman" w:cs="Times New Roman"/>
          <w:sz w:val="23"/>
          <w:szCs w:val="23"/>
          <w:lang w:val="ro-RO"/>
        </w:rPr>
        <w:t>care</w:t>
      </w:r>
      <w:r w:rsidR="008D2887" w:rsidRPr="007C266E">
        <w:rPr>
          <w:rFonts w:ascii="Times New Roman" w:hAnsi="Times New Roman" w:cs="Times New Roman"/>
          <w:sz w:val="23"/>
          <w:szCs w:val="23"/>
          <w:lang w:val="ro-RO"/>
        </w:rPr>
        <w:t xml:space="preserve"> se vor</w:t>
      </w:r>
      <w:r w:rsidR="00A57D49" w:rsidRPr="007C266E">
        <w:rPr>
          <w:rFonts w:ascii="Times New Roman" w:hAnsi="Times New Roman" w:cs="Times New Roman"/>
          <w:sz w:val="23"/>
          <w:szCs w:val="23"/>
          <w:lang w:val="ro-RO"/>
        </w:rPr>
        <w:t xml:space="preserve"> concentra asupra regiunilor și sectoarelor cel</w:t>
      </w:r>
      <w:r w:rsidR="001B708C">
        <w:rPr>
          <w:rFonts w:ascii="Times New Roman" w:hAnsi="Times New Roman" w:cs="Times New Roman"/>
          <w:sz w:val="23"/>
          <w:szCs w:val="23"/>
          <w:lang w:val="ro-RO"/>
        </w:rPr>
        <w:t xml:space="preserve">or </w:t>
      </w:r>
      <w:r w:rsidR="00A57D49" w:rsidRPr="007C266E">
        <w:rPr>
          <w:rFonts w:ascii="Times New Roman" w:hAnsi="Times New Roman" w:cs="Times New Roman"/>
          <w:sz w:val="23"/>
          <w:szCs w:val="23"/>
          <w:lang w:val="ro-RO"/>
        </w:rPr>
        <w:t xml:space="preserve">mai afectate de tranziție, deoarece acestea depind de combustibilii fosili sau de procese cu emisii </w:t>
      </w:r>
      <w:r w:rsidR="00A442BF" w:rsidRPr="007C266E">
        <w:rPr>
          <w:rFonts w:ascii="Times New Roman" w:hAnsi="Times New Roman" w:cs="Times New Roman"/>
          <w:sz w:val="23"/>
          <w:szCs w:val="23"/>
          <w:lang w:val="ro-RO"/>
        </w:rPr>
        <w:t>semnificative</w:t>
      </w:r>
      <w:r w:rsidR="00A57D49" w:rsidRPr="007C266E">
        <w:rPr>
          <w:rFonts w:ascii="Times New Roman" w:hAnsi="Times New Roman" w:cs="Times New Roman"/>
          <w:sz w:val="23"/>
          <w:szCs w:val="23"/>
          <w:lang w:val="ro-RO"/>
        </w:rPr>
        <w:t xml:space="preserve"> de dioxid de carbon. </w:t>
      </w:r>
    </w:p>
    <w:p w14:paraId="456E2C4C" w14:textId="77777777" w:rsidR="00A57D49" w:rsidRPr="007C266E" w:rsidRDefault="00A57D49" w:rsidP="009E5804">
      <w:pPr>
        <w:spacing w:after="0" w:line="240" w:lineRule="auto"/>
        <w:jc w:val="both"/>
        <w:rPr>
          <w:rFonts w:ascii="Times New Roman" w:hAnsi="Times New Roman" w:cs="Times New Roman"/>
          <w:sz w:val="23"/>
          <w:szCs w:val="23"/>
          <w:lang w:val="ro-RO"/>
        </w:rPr>
      </w:pPr>
    </w:p>
    <w:p w14:paraId="2EA640F1" w14:textId="5A9721CD" w:rsidR="002123F0" w:rsidRPr="007C266E" w:rsidRDefault="00A57D49"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Sprijinul se va concentra asupra încurajării activităților cu emisii reduse de dioxid de carbon și reziliente la schimbările climatice. De asemenea, mecanismul va avea drept obiectiv să îi protejeze pe cetățenii și pe lucrătorii cei mai vulnerabili în cursul acestei tranziții, oferindu-le acces la programe de recalificare, la locuri de muncă în noi sectoare economice sau la locuințe eficiente din punct de vedere energetic. Comisia va colabora cu statele membre </w:t>
      </w:r>
      <w:r w:rsidR="00A442BF" w:rsidRPr="007C266E">
        <w:rPr>
          <w:rFonts w:ascii="Times New Roman" w:hAnsi="Times New Roman" w:cs="Times New Roman"/>
          <w:sz w:val="23"/>
          <w:szCs w:val="23"/>
          <w:lang w:val="ro-RO"/>
        </w:rPr>
        <w:t>în vederea punerii</w:t>
      </w:r>
      <w:r w:rsidRPr="007C266E">
        <w:rPr>
          <w:rFonts w:ascii="Times New Roman" w:hAnsi="Times New Roman" w:cs="Times New Roman"/>
          <w:sz w:val="23"/>
          <w:szCs w:val="23"/>
          <w:lang w:val="ro-RO"/>
        </w:rPr>
        <w:t xml:space="preserve"> în aplicare </w:t>
      </w:r>
      <w:r w:rsidR="00A442BF" w:rsidRPr="007C266E">
        <w:rPr>
          <w:rFonts w:ascii="Times New Roman" w:hAnsi="Times New Roman" w:cs="Times New Roman"/>
          <w:sz w:val="23"/>
          <w:szCs w:val="23"/>
          <w:lang w:val="ro-RO"/>
        </w:rPr>
        <w:t xml:space="preserve">a </w:t>
      </w:r>
      <w:r w:rsidRPr="007C266E">
        <w:rPr>
          <w:rFonts w:ascii="Times New Roman" w:hAnsi="Times New Roman" w:cs="Times New Roman"/>
          <w:sz w:val="23"/>
          <w:szCs w:val="23"/>
          <w:lang w:val="ro-RO"/>
        </w:rPr>
        <w:t>planuri</w:t>
      </w:r>
      <w:r w:rsidR="00A442BF" w:rsidRPr="007C266E">
        <w:rPr>
          <w:rFonts w:ascii="Times New Roman" w:hAnsi="Times New Roman" w:cs="Times New Roman"/>
          <w:sz w:val="23"/>
          <w:szCs w:val="23"/>
          <w:lang w:val="ro-RO"/>
        </w:rPr>
        <w:t>lor</w:t>
      </w:r>
      <w:r w:rsidRPr="007C266E">
        <w:rPr>
          <w:rFonts w:ascii="Times New Roman" w:hAnsi="Times New Roman" w:cs="Times New Roman"/>
          <w:sz w:val="23"/>
          <w:szCs w:val="23"/>
          <w:lang w:val="ro-RO"/>
        </w:rPr>
        <w:t xml:space="preserve"> teritoriale de tranziție.</w:t>
      </w:r>
      <w:r w:rsidR="008D2887" w:rsidRPr="007C266E">
        <w:rPr>
          <w:rFonts w:ascii="Times New Roman" w:hAnsi="Times New Roman" w:cs="Times New Roman"/>
          <w:sz w:val="23"/>
          <w:szCs w:val="23"/>
          <w:lang w:val="ro-RO"/>
        </w:rPr>
        <w:t xml:space="preserve"> În România, evaluările preliminare ale</w:t>
      </w:r>
      <w:r w:rsidR="00A442BF" w:rsidRPr="007C266E">
        <w:rPr>
          <w:rFonts w:ascii="Times New Roman" w:hAnsi="Times New Roman" w:cs="Times New Roman"/>
          <w:sz w:val="23"/>
          <w:szCs w:val="23"/>
          <w:lang w:val="ro-RO"/>
        </w:rPr>
        <w:t xml:space="preserve"> CE</w:t>
      </w:r>
      <w:r w:rsidRPr="007C266E">
        <w:rPr>
          <w:rFonts w:ascii="Times New Roman" w:hAnsi="Times New Roman" w:cs="Times New Roman"/>
          <w:sz w:val="23"/>
          <w:szCs w:val="23"/>
          <w:lang w:val="ro-RO"/>
        </w:rPr>
        <w:t xml:space="preserve"> au identificat județele Hunedoara, Gorj, Dolj, Galați, Prahova și Mureș </w:t>
      </w:r>
      <w:r w:rsidR="008D2887" w:rsidRPr="007C266E">
        <w:rPr>
          <w:rFonts w:ascii="Times New Roman" w:hAnsi="Times New Roman" w:cs="Times New Roman"/>
          <w:sz w:val="23"/>
          <w:szCs w:val="23"/>
          <w:lang w:val="ro-RO"/>
        </w:rPr>
        <w:t xml:space="preserve">ca posibile zone </w:t>
      </w:r>
      <w:r w:rsidR="00A442BF" w:rsidRPr="007C266E">
        <w:rPr>
          <w:rFonts w:ascii="Times New Roman" w:hAnsi="Times New Roman" w:cs="Times New Roman"/>
          <w:sz w:val="23"/>
          <w:szCs w:val="23"/>
          <w:lang w:val="ro-RO"/>
        </w:rPr>
        <w:t xml:space="preserve">unde s-ar </w:t>
      </w:r>
      <w:r w:rsidR="00A442BF" w:rsidRPr="007C266E">
        <w:rPr>
          <w:rFonts w:ascii="Times New Roman" w:hAnsi="Times New Roman" w:cs="Times New Roman"/>
          <w:sz w:val="23"/>
          <w:szCs w:val="23"/>
          <w:lang w:val="ro-RO"/>
        </w:rPr>
        <w:lastRenderedPageBreak/>
        <w:t>justifica intervenția Fondului pentru o tranziție echitabilă, conform Raportului de Țară</w:t>
      </w:r>
      <w:r w:rsidR="0091178A" w:rsidRPr="007C266E">
        <w:rPr>
          <w:rFonts w:ascii="Times New Roman" w:hAnsi="Times New Roman" w:cs="Times New Roman"/>
          <w:sz w:val="23"/>
          <w:szCs w:val="23"/>
          <w:lang w:val="ro-RO"/>
        </w:rPr>
        <w:t xml:space="preserve"> </w:t>
      </w:r>
      <w:r w:rsidR="00A442BF" w:rsidRPr="007C266E">
        <w:rPr>
          <w:rFonts w:ascii="Times New Roman" w:hAnsi="Times New Roman" w:cs="Times New Roman"/>
          <w:sz w:val="23"/>
          <w:szCs w:val="23"/>
          <w:lang w:val="ro-RO"/>
        </w:rPr>
        <w:t xml:space="preserve">2020. </w:t>
      </w:r>
      <w:r w:rsidR="000B3BC8" w:rsidRPr="007C266E">
        <w:rPr>
          <w:rFonts w:ascii="Times New Roman" w:hAnsi="Times New Roman" w:cs="Times New Roman"/>
          <w:b/>
          <w:sz w:val="23"/>
          <w:szCs w:val="23"/>
          <w:lang w:val="ro-RO"/>
        </w:rPr>
        <w:t xml:space="preserve">România a inclus și județe adiacente, precum Mehedinți și Vâlcea, care </w:t>
      </w:r>
      <w:r w:rsidR="00201188">
        <w:rPr>
          <w:rFonts w:ascii="Times New Roman" w:hAnsi="Times New Roman" w:cs="Times New Roman"/>
          <w:b/>
          <w:sz w:val="23"/>
          <w:szCs w:val="23"/>
          <w:lang w:val="ro-RO"/>
        </w:rPr>
        <w:t>suportă un</w:t>
      </w:r>
      <w:r w:rsidR="000B3BC8" w:rsidRPr="007C266E">
        <w:rPr>
          <w:rFonts w:ascii="Times New Roman" w:hAnsi="Times New Roman" w:cs="Times New Roman"/>
          <w:b/>
          <w:sz w:val="23"/>
          <w:szCs w:val="23"/>
          <w:lang w:val="ro-RO"/>
        </w:rPr>
        <w:t xml:space="preserve"> impact major</w:t>
      </w:r>
      <w:r w:rsidR="00201188">
        <w:rPr>
          <w:rFonts w:ascii="Times New Roman" w:hAnsi="Times New Roman" w:cs="Times New Roman"/>
          <w:b/>
          <w:sz w:val="23"/>
          <w:szCs w:val="23"/>
          <w:lang w:val="ro-RO"/>
        </w:rPr>
        <w:t xml:space="preserve"> cauzat</w:t>
      </w:r>
      <w:r w:rsidR="000B3BC8" w:rsidRPr="007C266E">
        <w:rPr>
          <w:rFonts w:ascii="Times New Roman" w:hAnsi="Times New Roman" w:cs="Times New Roman"/>
          <w:b/>
          <w:sz w:val="23"/>
          <w:szCs w:val="23"/>
          <w:lang w:val="ro-RO"/>
        </w:rPr>
        <w:t xml:space="preserve"> de tranziția </w:t>
      </w:r>
      <w:r w:rsidR="0037622A" w:rsidRPr="007C266E">
        <w:rPr>
          <w:rFonts w:ascii="Times New Roman" w:hAnsi="Times New Roman" w:cs="Times New Roman"/>
          <w:b/>
          <w:sz w:val="23"/>
          <w:szCs w:val="23"/>
          <w:lang w:val="ro-RO"/>
        </w:rPr>
        <w:t>din</w:t>
      </w:r>
      <w:r w:rsidR="000B3BC8" w:rsidRPr="007C266E">
        <w:rPr>
          <w:rFonts w:ascii="Times New Roman" w:hAnsi="Times New Roman" w:cs="Times New Roman"/>
          <w:b/>
          <w:sz w:val="23"/>
          <w:szCs w:val="23"/>
          <w:lang w:val="ro-RO"/>
        </w:rPr>
        <w:t xml:space="preserve"> județele vecine</w:t>
      </w:r>
      <w:r w:rsidR="000B3BC8" w:rsidRPr="007C266E">
        <w:rPr>
          <w:rFonts w:ascii="Times New Roman" w:hAnsi="Times New Roman" w:cs="Times New Roman"/>
          <w:sz w:val="23"/>
          <w:szCs w:val="23"/>
          <w:lang w:val="ro-RO"/>
        </w:rPr>
        <w:t>.</w:t>
      </w:r>
    </w:p>
    <w:p w14:paraId="3B163584" w14:textId="77777777" w:rsidR="003037A4" w:rsidRPr="007C266E" w:rsidRDefault="003037A4" w:rsidP="009E5804">
      <w:pPr>
        <w:spacing w:after="0" w:line="240" w:lineRule="auto"/>
        <w:jc w:val="both"/>
        <w:rPr>
          <w:rFonts w:ascii="Times New Roman" w:hAnsi="Times New Roman" w:cs="Times New Roman"/>
          <w:sz w:val="23"/>
          <w:szCs w:val="23"/>
          <w:lang w:val="ro-RO"/>
        </w:rPr>
      </w:pPr>
    </w:p>
    <w:p w14:paraId="5E0FEC3B"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Securitate și diplomație energetică în cadrul UE</w:t>
      </w:r>
    </w:p>
    <w:p w14:paraId="23E68720"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5DDA9B7C" w14:textId="77777777" w:rsidR="00C43C61" w:rsidRPr="007C266E" w:rsidRDefault="00C43C61"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Încă din anul 2000, CE a asociat securitatea energetică a UE cu asigurarea disponibilității fizice neîntrerupte a produselor energetice, la preț accesibil și urmărind dezvoltarea durabilă.</w:t>
      </w:r>
    </w:p>
    <w:p w14:paraId="268BBB1E" w14:textId="77777777" w:rsidR="00A5605F" w:rsidRPr="007C266E" w:rsidRDefault="00A5605F" w:rsidP="009E5804">
      <w:pPr>
        <w:spacing w:after="0" w:line="240" w:lineRule="auto"/>
        <w:jc w:val="both"/>
        <w:rPr>
          <w:rFonts w:ascii="Times New Roman" w:hAnsi="Times New Roman" w:cs="Times New Roman"/>
          <w:sz w:val="23"/>
          <w:szCs w:val="23"/>
          <w:lang w:val="ro-RO"/>
        </w:rPr>
      </w:pPr>
    </w:p>
    <w:p w14:paraId="599623E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Printre acțiunile prioritare propuse de Strategia europeană a securității energetice se numără:</w:t>
      </w:r>
    </w:p>
    <w:p w14:paraId="6FECED26" w14:textId="77777777" w:rsidR="00417822" w:rsidRPr="007C266E" w:rsidRDefault="007A5D52" w:rsidP="002500F7">
      <w:pPr>
        <w:pStyle w:val="ListParagraph"/>
        <w:numPr>
          <w:ilvl w:val="0"/>
          <w:numId w:val="2"/>
        </w:numPr>
        <w:spacing w:after="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w:t>
      </w:r>
      <w:r w:rsidR="00C43C61" w:rsidRPr="007C266E">
        <w:rPr>
          <w:rFonts w:ascii="Times New Roman" w:hAnsi="Times New Roman" w:cs="Times New Roman"/>
          <w:sz w:val="23"/>
          <w:szCs w:val="23"/>
          <w:lang w:val="ro-RO"/>
        </w:rPr>
        <w:t>onstruirea unei piețe interne a energiei complet integrate;</w:t>
      </w:r>
    </w:p>
    <w:p w14:paraId="6F52B187" w14:textId="77777777" w:rsidR="00417822" w:rsidRPr="007C266E" w:rsidRDefault="007A5D52" w:rsidP="002500F7">
      <w:pPr>
        <w:pStyle w:val="ListParagraph"/>
        <w:numPr>
          <w:ilvl w:val="0"/>
          <w:numId w:val="2"/>
        </w:numPr>
        <w:spacing w:after="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w:t>
      </w:r>
      <w:r w:rsidR="00C43C61" w:rsidRPr="007C266E">
        <w:rPr>
          <w:rFonts w:ascii="Times New Roman" w:hAnsi="Times New Roman" w:cs="Times New Roman"/>
          <w:sz w:val="23"/>
          <w:szCs w:val="23"/>
          <w:lang w:val="ro-RO"/>
        </w:rPr>
        <w:t>iversificarea surselor externe de aprovizionare și a infrastructurii conexe;</w:t>
      </w:r>
    </w:p>
    <w:p w14:paraId="52718971" w14:textId="77777777" w:rsidR="00417822" w:rsidRPr="007C266E" w:rsidRDefault="007A5D52" w:rsidP="002500F7">
      <w:pPr>
        <w:pStyle w:val="ListParagraph"/>
        <w:numPr>
          <w:ilvl w:val="0"/>
          <w:numId w:val="2"/>
        </w:numPr>
        <w:spacing w:after="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m</w:t>
      </w:r>
      <w:r w:rsidR="00C43C61" w:rsidRPr="007C266E">
        <w:rPr>
          <w:rFonts w:ascii="Times New Roman" w:hAnsi="Times New Roman" w:cs="Times New Roman"/>
          <w:sz w:val="23"/>
          <w:szCs w:val="23"/>
          <w:lang w:val="ro-RO"/>
        </w:rPr>
        <w:t>oderarea cererii de energie și creșterea producției de energie în UE;</w:t>
      </w:r>
    </w:p>
    <w:p w14:paraId="68B2A890" w14:textId="77777777" w:rsidR="00417822" w:rsidRPr="007C266E" w:rsidRDefault="007A5D52" w:rsidP="002500F7">
      <w:pPr>
        <w:pStyle w:val="ListParagraph"/>
        <w:numPr>
          <w:ilvl w:val="0"/>
          <w:numId w:val="2"/>
        </w:numPr>
        <w:spacing w:after="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w:t>
      </w:r>
      <w:r w:rsidR="00C43C61" w:rsidRPr="007C266E">
        <w:rPr>
          <w:rFonts w:ascii="Times New Roman" w:hAnsi="Times New Roman" w:cs="Times New Roman"/>
          <w:sz w:val="23"/>
          <w:szCs w:val="23"/>
          <w:lang w:val="ro-RO"/>
        </w:rPr>
        <w:t>onsolidarea mecanismelor de creștere a nivelului de securitate, solidaritate, încredere între state, precum și protejarea infrastructurii strategice/critice;</w:t>
      </w:r>
    </w:p>
    <w:p w14:paraId="28F98776" w14:textId="77777777" w:rsidR="00C43C61" w:rsidRPr="007C266E" w:rsidRDefault="007A5D52" w:rsidP="002500F7">
      <w:pPr>
        <w:pStyle w:val="ListParagraph"/>
        <w:numPr>
          <w:ilvl w:val="0"/>
          <w:numId w:val="2"/>
        </w:numPr>
        <w:spacing w:after="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w:t>
      </w:r>
      <w:r w:rsidR="00C43C61" w:rsidRPr="007C266E">
        <w:rPr>
          <w:rFonts w:ascii="Times New Roman" w:hAnsi="Times New Roman" w:cs="Times New Roman"/>
          <w:sz w:val="23"/>
          <w:szCs w:val="23"/>
          <w:lang w:val="ro-RO"/>
        </w:rPr>
        <w:t>oordonarea politicilor energetice naționale și transmiterea unui mesaj unitar în diplomația energetică externă.</w:t>
      </w:r>
    </w:p>
    <w:p w14:paraId="07CE89F8"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98FA93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Lansat în februarie 2015, proiectul Uniunii Energetice urmărește să crească gradul de integrare în sectorul energetic prin coordonarea statelor membre în cinci domenii interdependente, </w:t>
      </w:r>
      <w:r w:rsidR="0026232D" w:rsidRPr="007C266E">
        <w:rPr>
          <w:rFonts w:ascii="Times New Roman" w:hAnsi="Times New Roman" w:cs="Times New Roman"/>
          <w:sz w:val="23"/>
          <w:szCs w:val="23"/>
          <w:lang w:val="ro-RO"/>
        </w:rPr>
        <w:t>așa-numiții</w:t>
      </w:r>
      <w:r w:rsidRPr="007C266E">
        <w:rPr>
          <w:rFonts w:ascii="Times New Roman" w:hAnsi="Times New Roman" w:cs="Times New Roman"/>
          <w:sz w:val="23"/>
          <w:szCs w:val="23"/>
          <w:lang w:val="ro-RO"/>
        </w:rPr>
        <w:t xml:space="preserve"> “piloni” ai Uniunii Energetice: securitate energetică, solidaritate și încredere; piață europeană a energiei pe deplin integrată; contribuția eficienței energetice la moderarea cererii de energie; decarbonarea economiei; cercetarea, inovarea și competitivitatea.</w:t>
      </w:r>
    </w:p>
    <w:p w14:paraId="375C6134" w14:textId="77777777" w:rsidR="00A86877" w:rsidRDefault="00A86877" w:rsidP="009E5804">
      <w:pPr>
        <w:spacing w:after="0" w:line="240" w:lineRule="auto"/>
        <w:jc w:val="both"/>
        <w:rPr>
          <w:rFonts w:ascii="Times New Roman" w:hAnsi="Times New Roman" w:cs="Times New Roman"/>
          <w:sz w:val="23"/>
          <w:szCs w:val="23"/>
          <w:lang w:val="ro-RO"/>
        </w:rPr>
      </w:pPr>
    </w:p>
    <w:p w14:paraId="4917074A" w14:textId="77777777" w:rsidR="00280D40" w:rsidRDefault="00280D40" w:rsidP="009E5804">
      <w:pPr>
        <w:spacing w:after="0" w:line="240" w:lineRule="auto"/>
        <w:jc w:val="both"/>
        <w:rPr>
          <w:rFonts w:ascii="Times New Roman" w:hAnsi="Times New Roman" w:cs="Times New Roman"/>
          <w:sz w:val="23"/>
          <w:szCs w:val="23"/>
          <w:lang w:val="ro-RO"/>
        </w:rPr>
      </w:pPr>
    </w:p>
    <w:p w14:paraId="137F7907" w14:textId="77777777" w:rsidR="00280D40" w:rsidRPr="007C266E" w:rsidRDefault="00280D40" w:rsidP="009E5804">
      <w:pPr>
        <w:spacing w:after="0" w:line="240" w:lineRule="auto"/>
        <w:jc w:val="both"/>
        <w:rPr>
          <w:rFonts w:ascii="Times New Roman" w:hAnsi="Times New Roman" w:cs="Times New Roman"/>
          <w:sz w:val="23"/>
          <w:szCs w:val="23"/>
          <w:lang w:val="ro-RO"/>
        </w:rPr>
      </w:pPr>
    </w:p>
    <w:p w14:paraId="6E09CBC6" w14:textId="77777777" w:rsidR="002F5C09"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lastRenderedPageBreak/>
        <w:t>Politici europene de reducere a emisiilor de gaze cu efect de seră</w:t>
      </w:r>
    </w:p>
    <w:p w14:paraId="08DB5A80"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622BA5CF"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UE își asumă un rol de lider în co</w:t>
      </w:r>
      <w:r w:rsidR="00544107" w:rsidRPr="007C266E">
        <w:rPr>
          <w:rFonts w:ascii="Times New Roman" w:hAnsi="Times New Roman" w:cs="Times New Roman"/>
          <w:sz w:val="23"/>
          <w:szCs w:val="23"/>
          <w:lang w:val="ro-RO"/>
        </w:rPr>
        <w:t>mbaterea schimbărilor climatice</w:t>
      </w:r>
      <w:r w:rsidRPr="007C266E">
        <w:rPr>
          <w:rFonts w:ascii="Times New Roman" w:hAnsi="Times New Roman" w:cs="Times New Roman"/>
          <w:sz w:val="23"/>
          <w:szCs w:val="23"/>
          <w:lang w:val="ro-RO"/>
        </w:rPr>
        <w:t xml:space="preserve"> atât prin sprijinirea acordurilor globale în domeniul climei, cât şi prin politicile sale climatice. </w:t>
      </w:r>
    </w:p>
    <w:p w14:paraId="3F84D0B7"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O dimensiune a diplomației energetice europene este diplomația mediului, în special în contextul formării unui regim internațional al politicilor climatice pe baza Acordului de la Paris. Obiectivul global pe termen lung convenit la Paris în 2015 este limitarea creșterii temperaturii medii globale la 2°C, comparativ cu nivelul preindustrial. </w:t>
      </w:r>
    </w:p>
    <w:p w14:paraId="6547C024"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CA2FFBF" w14:textId="77777777" w:rsidR="00BC1324"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UE şi-a dovedit leadership-ul prin asumarea unor ținte ambițioase de reducere a emisiilor de GES, de creștere a cotei de SRE în structura consumului de energie și de eficiență energetică. </w:t>
      </w:r>
      <w:r w:rsidR="00BC1324" w:rsidRPr="007C266E">
        <w:rPr>
          <w:rFonts w:ascii="Times New Roman" w:hAnsi="Times New Roman" w:cs="Times New Roman"/>
          <w:sz w:val="23"/>
          <w:szCs w:val="23"/>
          <w:lang w:val="ro-RO"/>
        </w:rPr>
        <w:t>În acest sens, au fost stabilite următoarele ținte comune la orizontul anului 2030</w:t>
      </w:r>
      <w:r w:rsidR="00D40946" w:rsidRPr="007C266E">
        <w:rPr>
          <w:rFonts w:ascii="Times New Roman" w:hAnsi="Times New Roman" w:cs="Times New Roman"/>
          <w:sz w:val="23"/>
          <w:szCs w:val="23"/>
          <w:lang w:val="ro-RO"/>
        </w:rPr>
        <w:t>, care pot fi revizuite în sens crescător în 2023 în cazul în care din analizele CE va rezulta nevoia de a spori nivelul de ambiție</w:t>
      </w:r>
      <w:r w:rsidR="00BC1324" w:rsidRPr="007C266E">
        <w:rPr>
          <w:rFonts w:ascii="Times New Roman" w:hAnsi="Times New Roman" w:cs="Times New Roman"/>
          <w:sz w:val="23"/>
          <w:szCs w:val="23"/>
          <w:lang w:val="ro-RO"/>
        </w:rPr>
        <w:t>:</w:t>
      </w:r>
    </w:p>
    <w:p w14:paraId="6439ED9E" w14:textId="77777777" w:rsidR="00BC1324" w:rsidRPr="007C266E" w:rsidRDefault="00BC1324" w:rsidP="002500F7">
      <w:pPr>
        <w:pStyle w:val="ListParagraph"/>
        <w:numPr>
          <w:ilvl w:val="0"/>
          <w:numId w:val="2"/>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40% reducere a emisiilor </w:t>
      </w:r>
      <w:r w:rsidR="00D40946" w:rsidRPr="007C266E">
        <w:rPr>
          <w:rFonts w:ascii="Times New Roman" w:hAnsi="Times New Roman" w:cs="Times New Roman"/>
          <w:sz w:val="23"/>
          <w:szCs w:val="23"/>
          <w:lang w:val="ro-RO"/>
        </w:rPr>
        <w:t>GES</w:t>
      </w:r>
      <w:r w:rsidRPr="007C266E">
        <w:rPr>
          <w:rFonts w:ascii="Times New Roman" w:hAnsi="Times New Roman" w:cs="Times New Roman"/>
          <w:sz w:val="23"/>
          <w:szCs w:val="23"/>
          <w:lang w:val="ro-RO"/>
        </w:rPr>
        <w:t xml:space="preserve"> față de nivelul anului 1990;</w:t>
      </w:r>
    </w:p>
    <w:p w14:paraId="1D5DBF2F" w14:textId="77777777" w:rsidR="00BC1324" w:rsidRPr="007C266E" w:rsidRDefault="00BC1324" w:rsidP="002500F7">
      <w:pPr>
        <w:pStyle w:val="ListParagraph"/>
        <w:numPr>
          <w:ilvl w:val="0"/>
          <w:numId w:val="2"/>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32% pondere a energiei din surse regenerabile în consumul final de energie;</w:t>
      </w:r>
    </w:p>
    <w:p w14:paraId="307C406C" w14:textId="77777777" w:rsidR="00BC1324" w:rsidRPr="007C266E" w:rsidRDefault="00BC1324" w:rsidP="002500F7">
      <w:pPr>
        <w:pStyle w:val="ListParagraph"/>
        <w:numPr>
          <w:ilvl w:val="0"/>
          <w:numId w:val="2"/>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32,5% îmbunătățire a eficienței energetice.</w:t>
      </w:r>
    </w:p>
    <w:p w14:paraId="29C03A9D" w14:textId="77777777" w:rsidR="00D40946" w:rsidRPr="007C266E" w:rsidRDefault="00D40946" w:rsidP="009E5804">
      <w:pPr>
        <w:pStyle w:val="ListParagraph"/>
        <w:spacing w:after="0" w:line="240" w:lineRule="auto"/>
        <w:ind w:left="0"/>
        <w:jc w:val="both"/>
        <w:rPr>
          <w:rFonts w:ascii="Times New Roman" w:hAnsi="Times New Roman" w:cs="Times New Roman"/>
          <w:sz w:val="23"/>
          <w:szCs w:val="23"/>
          <w:lang w:val="ro-RO"/>
        </w:rPr>
      </w:pPr>
    </w:p>
    <w:p w14:paraId="4E95688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UE are </w:t>
      </w:r>
      <w:r w:rsidR="00001B47" w:rsidRPr="007C266E">
        <w:rPr>
          <w:rFonts w:ascii="Times New Roman" w:hAnsi="Times New Roman" w:cs="Times New Roman"/>
          <w:sz w:val="23"/>
          <w:szCs w:val="23"/>
          <w:lang w:val="ro-RO"/>
        </w:rPr>
        <w:t xml:space="preserve">obiectivul </w:t>
      </w:r>
      <w:r w:rsidRPr="007C266E">
        <w:rPr>
          <w:rFonts w:ascii="Times New Roman" w:hAnsi="Times New Roman" w:cs="Times New Roman"/>
          <w:sz w:val="23"/>
          <w:szCs w:val="23"/>
          <w:lang w:val="ro-RO"/>
        </w:rPr>
        <w:t xml:space="preserve">de a reduce până în 2050 emisiile de GES cu 80-95% față de nivelul anului 1990, țintele fiind de 40% pentru 2030 și de 60% pentru 2040. </w:t>
      </w:r>
      <w:r w:rsidR="00D40946" w:rsidRPr="007C266E">
        <w:rPr>
          <w:rFonts w:ascii="Times New Roman" w:hAnsi="Times New Roman" w:cs="Times New Roman"/>
          <w:sz w:val="23"/>
          <w:szCs w:val="23"/>
          <w:lang w:val="ro-RO"/>
        </w:rPr>
        <w:t xml:space="preserve">Prin Pactul ecologic european, se propune revizuirea acestei ținte, anume o reducere de 50% spre 55% în 2030, respectiv atingerea unui nivel de emisii „net zero” în 2050. </w:t>
      </w:r>
    </w:p>
    <w:p w14:paraId="54D81EE5"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22609D7" w14:textId="77777777" w:rsidR="00C43C61"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Pentru segmentul non-ETS, reducerea este de 30% până în 2030 față de anul 2005, țintă care va fi realizată de statele membre în mod colectiv.</w:t>
      </w:r>
    </w:p>
    <w:p w14:paraId="02DBBD93" w14:textId="77777777" w:rsidR="00280D40" w:rsidRDefault="00280D40" w:rsidP="009E5804">
      <w:pPr>
        <w:spacing w:after="0" w:line="240" w:lineRule="auto"/>
        <w:jc w:val="both"/>
        <w:rPr>
          <w:rFonts w:ascii="Times New Roman" w:hAnsi="Times New Roman" w:cs="Times New Roman"/>
          <w:sz w:val="23"/>
          <w:szCs w:val="23"/>
          <w:lang w:val="ro-RO"/>
        </w:rPr>
      </w:pPr>
    </w:p>
    <w:p w14:paraId="4304677A" w14:textId="77777777" w:rsidR="00280D40" w:rsidRDefault="00280D40" w:rsidP="009E5804">
      <w:pPr>
        <w:spacing w:after="0" w:line="240" w:lineRule="auto"/>
        <w:jc w:val="both"/>
        <w:rPr>
          <w:rFonts w:ascii="Times New Roman" w:hAnsi="Times New Roman" w:cs="Times New Roman"/>
          <w:sz w:val="23"/>
          <w:szCs w:val="23"/>
          <w:lang w:val="ro-RO"/>
        </w:rPr>
      </w:pPr>
    </w:p>
    <w:p w14:paraId="22DB1EA8"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lastRenderedPageBreak/>
        <w:t xml:space="preserve">Eficiența energetică, prioritatea principală a noului pachet de reformă </w:t>
      </w:r>
    </w:p>
    <w:p w14:paraId="4B33D449" w14:textId="77777777" w:rsidR="00544107" w:rsidRPr="007C266E" w:rsidRDefault="00544107" w:rsidP="009E5804">
      <w:pPr>
        <w:spacing w:after="0" w:line="240" w:lineRule="auto"/>
        <w:jc w:val="both"/>
        <w:rPr>
          <w:rFonts w:ascii="Times New Roman" w:hAnsi="Times New Roman" w:cs="Times New Roman"/>
          <w:sz w:val="23"/>
          <w:szCs w:val="23"/>
          <w:lang w:val="ro-RO"/>
        </w:rPr>
      </w:pPr>
    </w:p>
    <w:p w14:paraId="1E63C721" w14:textId="77777777" w:rsidR="00C8079A" w:rsidRPr="007C266E" w:rsidRDefault="00D40946"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w:t>
      </w:r>
      <w:r w:rsidR="00C43C61" w:rsidRPr="007C266E">
        <w:rPr>
          <w:rFonts w:ascii="Times New Roman" w:hAnsi="Times New Roman" w:cs="Times New Roman"/>
          <w:sz w:val="23"/>
          <w:szCs w:val="23"/>
          <w:lang w:val="ro-RO"/>
        </w:rPr>
        <w:t>irectiv</w:t>
      </w:r>
      <w:r w:rsidR="00757E12" w:rsidRPr="007C266E">
        <w:rPr>
          <w:rFonts w:ascii="Times New Roman" w:hAnsi="Times New Roman" w:cs="Times New Roman"/>
          <w:sz w:val="23"/>
          <w:szCs w:val="23"/>
          <w:lang w:val="ro-RO"/>
        </w:rPr>
        <w:t>a</w:t>
      </w:r>
      <w:r w:rsidR="00C43C61" w:rsidRPr="007C266E">
        <w:rPr>
          <w:rFonts w:ascii="Times New Roman" w:hAnsi="Times New Roman" w:cs="Times New Roman"/>
          <w:sz w:val="23"/>
          <w:szCs w:val="23"/>
          <w:lang w:val="ro-RO"/>
        </w:rPr>
        <w:t xml:space="preserve"> cu privire la eficiența energetică </w:t>
      </w:r>
      <w:r w:rsidR="00757E12" w:rsidRPr="007C266E">
        <w:rPr>
          <w:rFonts w:ascii="Times New Roman" w:hAnsi="Times New Roman" w:cs="Times New Roman"/>
          <w:sz w:val="23"/>
          <w:szCs w:val="23"/>
          <w:lang w:val="ro-RO"/>
        </w:rPr>
        <w:t>prevede</w:t>
      </w:r>
      <w:r w:rsidR="00C43C61" w:rsidRPr="007C266E">
        <w:rPr>
          <w:rFonts w:ascii="Times New Roman" w:hAnsi="Times New Roman" w:cs="Times New Roman"/>
          <w:sz w:val="23"/>
          <w:szCs w:val="23"/>
          <w:lang w:val="ro-RO"/>
        </w:rPr>
        <w:t xml:space="preserve"> </w:t>
      </w:r>
      <w:r w:rsidR="00757E12" w:rsidRPr="007C266E">
        <w:rPr>
          <w:rFonts w:ascii="Times New Roman" w:hAnsi="Times New Roman" w:cs="Times New Roman"/>
          <w:sz w:val="23"/>
          <w:szCs w:val="23"/>
          <w:lang w:val="ro-RO"/>
        </w:rPr>
        <w:t>o</w:t>
      </w:r>
      <w:r w:rsidR="00C43C61" w:rsidRPr="007C266E">
        <w:rPr>
          <w:rFonts w:ascii="Times New Roman" w:hAnsi="Times New Roman" w:cs="Times New Roman"/>
          <w:sz w:val="23"/>
          <w:szCs w:val="23"/>
          <w:lang w:val="ro-RO"/>
        </w:rPr>
        <w:t xml:space="preserve"> țint</w:t>
      </w:r>
      <w:r w:rsidR="00757E12" w:rsidRPr="007C266E">
        <w:rPr>
          <w:rFonts w:ascii="Times New Roman" w:hAnsi="Times New Roman" w:cs="Times New Roman"/>
          <w:sz w:val="23"/>
          <w:szCs w:val="23"/>
          <w:lang w:val="ro-RO"/>
        </w:rPr>
        <w:t>ă</w:t>
      </w:r>
      <w:r w:rsidR="00C43C61" w:rsidRPr="007C266E">
        <w:rPr>
          <w:rFonts w:ascii="Times New Roman" w:hAnsi="Times New Roman" w:cs="Times New Roman"/>
          <w:sz w:val="23"/>
          <w:szCs w:val="23"/>
          <w:lang w:val="ro-RO"/>
        </w:rPr>
        <w:t xml:space="preserve"> de reducere a </w:t>
      </w:r>
      <w:r w:rsidR="00757E12" w:rsidRPr="007C266E">
        <w:rPr>
          <w:rFonts w:ascii="Times New Roman" w:hAnsi="Times New Roman" w:cs="Times New Roman"/>
          <w:sz w:val="23"/>
          <w:szCs w:val="23"/>
          <w:lang w:val="ro-RO"/>
        </w:rPr>
        <w:t>consumului de energie cu</w:t>
      </w:r>
      <w:r w:rsidR="00C43C61" w:rsidRPr="007C266E">
        <w:rPr>
          <w:rFonts w:ascii="Times New Roman" w:hAnsi="Times New Roman" w:cs="Times New Roman"/>
          <w:sz w:val="23"/>
          <w:szCs w:val="23"/>
          <w:lang w:val="ro-RO"/>
        </w:rPr>
        <w:t xml:space="preserve"> 3</w:t>
      </w:r>
      <w:r w:rsidR="00AE24F0" w:rsidRPr="007C266E">
        <w:rPr>
          <w:rFonts w:ascii="Times New Roman" w:hAnsi="Times New Roman" w:cs="Times New Roman"/>
          <w:sz w:val="23"/>
          <w:szCs w:val="23"/>
          <w:lang w:val="ro-RO"/>
        </w:rPr>
        <w:t>2,5</w:t>
      </w:r>
      <w:r w:rsidR="00C43C61" w:rsidRPr="007C266E">
        <w:rPr>
          <w:rFonts w:ascii="Times New Roman" w:hAnsi="Times New Roman" w:cs="Times New Roman"/>
          <w:sz w:val="23"/>
          <w:szCs w:val="23"/>
          <w:lang w:val="ro-RO"/>
        </w:rPr>
        <w:t xml:space="preserve">%. Prevederile articolului 7 al </w:t>
      </w:r>
      <w:r w:rsidR="00955090" w:rsidRPr="007C266E">
        <w:rPr>
          <w:rFonts w:ascii="Times New Roman" w:hAnsi="Times New Roman" w:cs="Times New Roman"/>
          <w:sz w:val="23"/>
          <w:szCs w:val="23"/>
          <w:lang w:val="ro-RO"/>
        </w:rPr>
        <w:t>D</w:t>
      </w:r>
      <w:r w:rsidR="00C43C61" w:rsidRPr="007C266E">
        <w:rPr>
          <w:rFonts w:ascii="Times New Roman" w:hAnsi="Times New Roman" w:cs="Times New Roman"/>
          <w:sz w:val="23"/>
          <w:szCs w:val="23"/>
          <w:lang w:val="ro-RO"/>
        </w:rPr>
        <w:t>irectivei sunt extinse până în 2030, dar lasă flexibilitate deplină fiecărui stat membru în alegerea măsurilor prin care sunt îndeplinite obligațiile de reducere a cererii de energie.</w:t>
      </w:r>
    </w:p>
    <w:p w14:paraId="74DB0D9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12A60499" w14:textId="77777777" w:rsidR="00C43C61" w:rsidRPr="007C266E" w:rsidRDefault="00757E12"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w:t>
      </w:r>
      <w:r w:rsidR="00C43C61" w:rsidRPr="007C266E">
        <w:rPr>
          <w:rFonts w:ascii="Times New Roman" w:hAnsi="Times New Roman" w:cs="Times New Roman"/>
          <w:sz w:val="23"/>
          <w:szCs w:val="23"/>
          <w:lang w:val="ro-RO"/>
        </w:rPr>
        <w:t>irectiv</w:t>
      </w:r>
      <w:r w:rsidR="00574887" w:rsidRPr="007C266E">
        <w:rPr>
          <w:rFonts w:ascii="Times New Roman" w:hAnsi="Times New Roman" w:cs="Times New Roman"/>
          <w:sz w:val="23"/>
          <w:szCs w:val="23"/>
          <w:lang w:val="ro-RO"/>
        </w:rPr>
        <w:t>a</w:t>
      </w:r>
      <w:r w:rsidR="00C43C61" w:rsidRPr="007C266E">
        <w:rPr>
          <w:rFonts w:ascii="Times New Roman" w:hAnsi="Times New Roman" w:cs="Times New Roman"/>
          <w:sz w:val="23"/>
          <w:szCs w:val="23"/>
          <w:lang w:val="ro-RO"/>
        </w:rPr>
        <w:t xml:space="preserve"> cu privire la performanța energetică a clădirilor urmărește decarbonarea segmentului clădirilor până în 2050, prin crearea unei perspective pe termen lung pentru investiții și creșterea ritmului de renovare a clădirilor. Directiva prevede utilizarea noilor tehnologii în „clădiri inteligente”, pentru a îmbunătăți managementul energetic al acestora. </w:t>
      </w:r>
      <w:r w:rsidR="001105F2" w:rsidRPr="007C266E">
        <w:rPr>
          <w:rFonts w:ascii="Times New Roman" w:hAnsi="Times New Roman" w:cs="Times New Roman"/>
          <w:sz w:val="23"/>
          <w:szCs w:val="23"/>
          <w:lang w:val="ro-RO"/>
        </w:rPr>
        <w:t>Statele membre au de asemenea obligația de a realiza o strategie de renovare pe termen lung, cu perspectiva anului 2050.</w:t>
      </w:r>
    </w:p>
    <w:p w14:paraId="060B1CDB" w14:textId="77777777" w:rsidR="00C8079A" w:rsidRPr="007C266E" w:rsidRDefault="00C43C61"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CE a lansat, de asemenea, </w:t>
      </w:r>
      <w:r w:rsidR="00757E12" w:rsidRPr="007C266E">
        <w:rPr>
          <w:rFonts w:ascii="Times New Roman" w:hAnsi="Times New Roman" w:cs="Times New Roman"/>
          <w:sz w:val="23"/>
          <w:szCs w:val="23"/>
          <w:lang w:val="ro-RO"/>
        </w:rPr>
        <w:t>norme de</w:t>
      </w:r>
      <w:r w:rsidRPr="007C266E">
        <w:rPr>
          <w:rFonts w:ascii="Times New Roman" w:hAnsi="Times New Roman" w:cs="Times New Roman"/>
          <w:sz w:val="23"/>
          <w:szCs w:val="23"/>
          <w:lang w:val="ro-RO"/>
        </w:rPr>
        <w:t xml:space="preserve"> ecodesign c</w:t>
      </w:r>
      <w:r w:rsidR="007A5D52" w:rsidRPr="007C266E">
        <w:rPr>
          <w:rFonts w:ascii="Times New Roman" w:hAnsi="Times New Roman" w:cs="Times New Roman"/>
          <w:sz w:val="23"/>
          <w:szCs w:val="23"/>
          <w:lang w:val="ro-RO"/>
        </w:rPr>
        <w:t>ar</w:t>
      </w:r>
      <w:r w:rsidRPr="007C266E">
        <w:rPr>
          <w:rFonts w:ascii="Times New Roman" w:hAnsi="Times New Roman" w:cs="Times New Roman"/>
          <w:sz w:val="23"/>
          <w:szCs w:val="23"/>
          <w:lang w:val="ro-RO"/>
        </w:rPr>
        <w:t>e</w:t>
      </w:r>
      <w:r w:rsidR="00757E12"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 xml:space="preserve">introduc standarde de eficiență energetică pentru noi categorii de produse și </w:t>
      </w:r>
      <w:r w:rsidR="00001B47" w:rsidRPr="007C266E">
        <w:rPr>
          <w:rFonts w:ascii="Times New Roman" w:hAnsi="Times New Roman" w:cs="Times New Roman"/>
          <w:sz w:val="23"/>
          <w:szCs w:val="23"/>
          <w:lang w:val="ro-RO"/>
        </w:rPr>
        <w:t>mută</w:t>
      </w:r>
      <w:r w:rsidRPr="007C266E">
        <w:rPr>
          <w:rFonts w:ascii="Times New Roman" w:hAnsi="Times New Roman" w:cs="Times New Roman"/>
          <w:sz w:val="23"/>
          <w:szCs w:val="23"/>
          <w:lang w:val="ro-RO"/>
        </w:rPr>
        <w:t xml:space="preserve"> accentul de pe eficiența energetică pe design în spiritul economiei circulare.</w:t>
      </w:r>
    </w:p>
    <w:p w14:paraId="735EA4AB" w14:textId="77777777" w:rsidR="00C8079A" w:rsidRPr="007C266E" w:rsidRDefault="00C8079A" w:rsidP="002F5C09">
      <w:pPr>
        <w:spacing w:after="0" w:line="240" w:lineRule="auto"/>
        <w:jc w:val="both"/>
        <w:rPr>
          <w:rFonts w:ascii="Times New Roman" w:hAnsi="Times New Roman" w:cs="Times New Roman"/>
          <w:sz w:val="23"/>
          <w:szCs w:val="23"/>
          <w:lang w:val="ro-RO"/>
        </w:rPr>
      </w:pPr>
    </w:p>
    <w:p w14:paraId="4793E731"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Promovarea energiei din surse regenerabile</w:t>
      </w:r>
    </w:p>
    <w:p w14:paraId="1019100F"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C89BDFB" w14:textId="77777777" w:rsidR="00D9258C" w:rsidRPr="007C266E" w:rsidRDefault="00001B4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Noua Directivă SRE</w:t>
      </w:r>
      <w:r w:rsidR="00C43C61" w:rsidRPr="007C266E">
        <w:rPr>
          <w:rFonts w:ascii="Times New Roman" w:hAnsi="Times New Roman" w:cs="Times New Roman"/>
          <w:sz w:val="23"/>
          <w:szCs w:val="23"/>
          <w:lang w:val="ro-RO"/>
        </w:rPr>
        <w:t xml:space="preserve"> prevede șase direcții de acțiune</w:t>
      </w:r>
      <w:r w:rsidR="00D9258C" w:rsidRPr="007C266E">
        <w:rPr>
          <w:rFonts w:ascii="Times New Roman" w:hAnsi="Times New Roman" w:cs="Times New Roman"/>
          <w:sz w:val="23"/>
          <w:szCs w:val="23"/>
          <w:lang w:val="ro-RO"/>
        </w:rPr>
        <w:t>:</w:t>
      </w:r>
      <w:r w:rsidR="00C43C61" w:rsidRPr="007C266E">
        <w:rPr>
          <w:rFonts w:ascii="Times New Roman" w:hAnsi="Times New Roman" w:cs="Times New Roman"/>
          <w:sz w:val="23"/>
          <w:szCs w:val="23"/>
          <w:lang w:val="ro-RO"/>
        </w:rPr>
        <w:t xml:space="preserve"> </w:t>
      </w:r>
    </w:p>
    <w:p w14:paraId="3B4A184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u w:val="single"/>
          <w:lang w:val="ro-RO"/>
        </w:rPr>
        <w:t xml:space="preserve">Prima </w:t>
      </w:r>
      <w:r w:rsidR="00D9258C" w:rsidRPr="007C266E">
        <w:rPr>
          <w:rFonts w:ascii="Times New Roman" w:hAnsi="Times New Roman" w:cs="Times New Roman"/>
          <w:sz w:val="23"/>
          <w:szCs w:val="23"/>
          <w:u w:val="single"/>
          <w:lang w:val="ro-RO"/>
        </w:rPr>
        <w:t xml:space="preserve">direcție </w:t>
      </w:r>
      <w:r w:rsidR="00001B47" w:rsidRPr="007C266E">
        <w:rPr>
          <w:rFonts w:ascii="Times New Roman" w:hAnsi="Times New Roman" w:cs="Times New Roman"/>
          <w:sz w:val="23"/>
          <w:szCs w:val="23"/>
          <w:lang w:val="ro-RO"/>
        </w:rPr>
        <w:t xml:space="preserve">vizează </w:t>
      </w:r>
      <w:r w:rsidRPr="007C266E">
        <w:rPr>
          <w:rFonts w:ascii="Times New Roman" w:hAnsi="Times New Roman" w:cs="Times New Roman"/>
          <w:sz w:val="23"/>
          <w:szCs w:val="23"/>
          <w:lang w:val="ro-RO"/>
        </w:rPr>
        <w:t xml:space="preserve">principii generale de urmat atunci când statele membre definesc politici de sprijin pentru SRE, cu respectarea principiilor de transparență, eficiență economică și bazate în cât mai mare măsură pe mecanismele pieței competitive. Aceste elemente sunt reunite în Strategie, sub principiul neutralității tehnologice. </w:t>
      </w:r>
    </w:p>
    <w:p w14:paraId="2493452D"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0D184D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u w:val="single"/>
          <w:lang w:val="ro-RO"/>
        </w:rPr>
        <w:t>A doua direcție</w:t>
      </w:r>
      <w:r w:rsidRPr="007C266E">
        <w:rPr>
          <w:rFonts w:ascii="Times New Roman" w:hAnsi="Times New Roman" w:cs="Times New Roman"/>
          <w:sz w:val="23"/>
          <w:szCs w:val="23"/>
          <w:lang w:val="ro-RO"/>
        </w:rPr>
        <w:t xml:space="preserve"> de acțiune aduce în prim plan SRE în segmentul de cerere pentru încălzire și răcire (SRE-</w:t>
      </w:r>
      <w:r w:rsidR="00001B47" w:rsidRPr="007C266E">
        <w:rPr>
          <w:rFonts w:ascii="Times New Roman" w:hAnsi="Times New Roman" w:cs="Times New Roman"/>
          <w:sz w:val="23"/>
          <w:szCs w:val="23"/>
          <w:lang w:val="ro-RO"/>
        </w:rPr>
        <w:t>Î&amp;</w:t>
      </w:r>
      <w:r w:rsidRPr="007C266E">
        <w:rPr>
          <w:rFonts w:ascii="Times New Roman" w:hAnsi="Times New Roman" w:cs="Times New Roman"/>
          <w:sz w:val="23"/>
          <w:szCs w:val="23"/>
          <w:lang w:val="ro-RO"/>
        </w:rPr>
        <w:t>R), prezentând opțiuni pentru statele membre pentru a atinge, la nivel național, un ritm de creștere a ponderii SRE în cererea totală de energie pentru încălzire și răcire cu 1</w:t>
      </w:r>
      <w:r w:rsidR="00AE24F0" w:rsidRPr="007C266E">
        <w:rPr>
          <w:rFonts w:ascii="Times New Roman" w:hAnsi="Times New Roman" w:cs="Times New Roman"/>
          <w:sz w:val="23"/>
          <w:szCs w:val="23"/>
          <w:lang w:val="ro-RO"/>
        </w:rPr>
        <w:t>,3</w:t>
      </w:r>
      <w:r w:rsidRPr="007C266E">
        <w:rPr>
          <w:rFonts w:ascii="Times New Roman" w:hAnsi="Times New Roman" w:cs="Times New Roman"/>
          <w:sz w:val="23"/>
          <w:szCs w:val="23"/>
          <w:lang w:val="ro-RO"/>
        </w:rPr>
        <w:t>% anual până în 2030. De asemenea, directiva asigur</w:t>
      </w:r>
      <w:r w:rsidR="00001B47"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accesul terților la </w:t>
      </w:r>
      <w:r w:rsidRPr="007C266E">
        <w:rPr>
          <w:rFonts w:ascii="Times New Roman" w:hAnsi="Times New Roman" w:cs="Times New Roman"/>
          <w:sz w:val="23"/>
          <w:szCs w:val="23"/>
          <w:lang w:val="ro-RO"/>
        </w:rPr>
        <w:lastRenderedPageBreak/>
        <w:t>rețelele SACET pentru noi producători c</w:t>
      </w:r>
      <w:r w:rsidR="007A5D52" w:rsidRPr="007C266E">
        <w:rPr>
          <w:rFonts w:ascii="Times New Roman" w:hAnsi="Times New Roman" w:cs="Times New Roman"/>
          <w:sz w:val="23"/>
          <w:szCs w:val="23"/>
          <w:lang w:val="ro-RO"/>
        </w:rPr>
        <w:t>ar</w:t>
      </w:r>
      <w:r w:rsidRPr="007C266E">
        <w:rPr>
          <w:rFonts w:ascii="Times New Roman" w:hAnsi="Times New Roman" w:cs="Times New Roman"/>
          <w:sz w:val="23"/>
          <w:szCs w:val="23"/>
          <w:lang w:val="ro-RO"/>
        </w:rPr>
        <w:t>e utilizează SRE (cu precădere biomasă, biogaz și energie geotermală, dar ar putea fi luate în considerare și pompe de căldură).</w:t>
      </w:r>
    </w:p>
    <w:p w14:paraId="40E246D5"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3C43697" w14:textId="77777777" w:rsidR="00C8079A"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u w:val="single"/>
          <w:lang w:val="ro-RO"/>
        </w:rPr>
        <w:t>A treia direcție</w:t>
      </w:r>
      <w:r w:rsidRPr="007C266E">
        <w:rPr>
          <w:rFonts w:ascii="Times New Roman" w:hAnsi="Times New Roman" w:cs="Times New Roman"/>
          <w:sz w:val="23"/>
          <w:szCs w:val="23"/>
          <w:lang w:val="ro-RO"/>
        </w:rPr>
        <w:t xml:space="preserve"> de acțiune urmărește creșterea ponderii SRE și a combustibililor cu conținut scăzut de carbon în sectorul transporturilor – inclusiv biocombustibili avansați, hidrogen, combustibili produși din deșeuri și SRE-E.</w:t>
      </w:r>
    </w:p>
    <w:p w14:paraId="596F1732"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15D9B8ED" w14:textId="77777777" w:rsidR="00C43C61" w:rsidRPr="007C266E" w:rsidRDefault="00E32805"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u w:val="single"/>
          <w:lang w:val="ro-RO"/>
        </w:rPr>
        <w:t>A patra direcție</w:t>
      </w:r>
      <w:r w:rsidRPr="007C266E">
        <w:rPr>
          <w:rFonts w:ascii="Times New Roman" w:hAnsi="Times New Roman" w:cs="Times New Roman"/>
          <w:sz w:val="23"/>
          <w:szCs w:val="23"/>
          <w:lang w:val="ro-RO"/>
        </w:rPr>
        <w:t xml:space="preserve"> </w:t>
      </w:r>
      <w:r w:rsidR="00C43C61" w:rsidRPr="007C266E">
        <w:rPr>
          <w:rFonts w:ascii="Times New Roman" w:hAnsi="Times New Roman" w:cs="Times New Roman"/>
          <w:sz w:val="23"/>
          <w:szCs w:val="23"/>
          <w:lang w:val="ro-RO"/>
        </w:rPr>
        <w:t>promovează o mai bună informare a consumatorilor c</w:t>
      </w:r>
      <w:r w:rsidR="00C8079A" w:rsidRPr="007C266E">
        <w:rPr>
          <w:rFonts w:ascii="Times New Roman" w:hAnsi="Times New Roman" w:cs="Times New Roman"/>
          <w:sz w:val="23"/>
          <w:szCs w:val="23"/>
          <w:lang w:val="ro-RO"/>
        </w:rPr>
        <w:t xml:space="preserve">u privire la SRE. De </w:t>
      </w:r>
      <w:r w:rsidR="0026232D" w:rsidRPr="007C266E">
        <w:rPr>
          <w:rFonts w:ascii="Times New Roman" w:hAnsi="Times New Roman" w:cs="Times New Roman"/>
          <w:sz w:val="23"/>
          <w:szCs w:val="23"/>
          <w:lang w:val="ro-RO"/>
        </w:rPr>
        <w:t>asemenea</w:t>
      </w:r>
      <w:r w:rsidR="00C8079A" w:rsidRPr="007C266E">
        <w:rPr>
          <w:rFonts w:ascii="Times New Roman" w:hAnsi="Times New Roman" w:cs="Times New Roman"/>
          <w:sz w:val="23"/>
          <w:szCs w:val="23"/>
          <w:lang w:val="ro-RO"/>
        </w:rPr>
        <w:t xml:space="preserve">, </w:t>
      </w:r>
      <w:r w:rsidR="00C43C61" w:rsidRPr="007C266E">
        <w:rPr>
          <w:rFonts w:ascii="Times New Roman" w:hAnsi="Times New Roman" w:cs="Times New Roman"/>
          <w:sz w:val="23"/>
          <w:szCs w:val="23"/>
          <w:lang w:val="ro-RO"/>
        </w:rPr>
        <w:t xml:space="preserve">Directiva garantează dreptul consumatorilor individuali și al comunităților locale de a deveni </w:t>
      </w:r>
      <w:r w:rsidR="00F46422" w:rsidRPr="007C266E">
        <w:rPr>
          <w:rFonts w:ascii="Times New Roman" w:hAnsi="Times New Roman" w:cs="Times New Roman"/>
          <w:sz w:val="23"/>
          <w:szCs w:val="23"/>
          <w:lang w:val="ro-RO"/>
        </w:rPr>
        <w:t>prosumator</w:t>
      </w:r>
      <w:r w:rsidR="00C43C61" w:rsidRPr="007C266E">
        <w:rPr>
          <w:rFonts w:ascii="Times New Roman" w:hAnsi="Times New Roman" w:cs="Times New Roman"/>
          <w:sz w:val="23"/>
          <w:szCs w:val="23"/>
          <w:lang w:val="ro-RO"/>
        </w:rPr>
        <w:t xml:space="preserve"> și de a fi remunerați pentru energia livrată în rețea.</w:t>
      </w:r>
    </w:p>
    <w:p w14:paraId="5C9814D1"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51638305"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u w:val="single"/>
          <w:lang w:val="ro-RO"/>
        </w:rPr>
        <w:t>A cincea direcție</w:t>
      </w:r>
      <w:r w:rsidRPr="007C266E">
        <w:rPr>
          <w:rFonts w:ascii="Times New Roman" w:hAnsi="Times New Roman" w:cs="Times New Roman"/>
          <w:sz w:val="23"/>
          <w:szCs w:val="23"/>
          <w:lang w:val="ro-RO"/>
        </w:rPr>
        <w:t xml:space="preserve"> de acțiune prevede întărirea standardelor de sustenabilitate pentru energia produsă pe bază de biomasă – inclusiv garanția evitării defrișărilor și a degradării habitatelor, precum și cerința ca emisiile aferente de GES să fie contabilizate în mod riguros. </w:t>
      </w:r>
    </w:p>
    <w:p w14:paraId="71A642A3" w14:textId="77777777" w:rsidR="00C8079A" w:rsidRPr="007C266E" w:rsidRDefault="00C8079A" w:rsidP="009E5804">
      <w:pPr>
        <w:spacing w:after="0" w:line="240" w:lineRule="auto"/>
        <w:jc w:val="both"/>
        <w:rPr>
          <w:rFonts w:ascii="Times New Roman" w:hAnsi="Times New Roman" w:cs="Times New Roman"/>
          <w:sz w:val="23"/>
          <w:szCs w:val="23"/>
          <w:lang w:val="ro-RO"/>
        </w:rPr>
      </w:pPr>
    </w:p>
    <w:p w14:paraId="12574FAB"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u w:val="single"/>
          <w:lang w:val="ro-RO"/>
        </w:rPr>
        <w:t>A șasea direcție</w:t>
      </w:r>
      <w:r w:rsidRPr="007C266E">
        <w:rPr>
          <w:rFonts w:ascii="Times New Roman" w:hAnsi="Times New Roman" w:cs="Times New Roman"/>
          <w:sz w:val="23"/>
          <w:szCs w:val="23"/>
          <w:lang w:val="ro-RO"/>
        </w:rPr>
        <w:t xml:space="preserve"> de acțiune vizează asigurarea r</w:t>
      </w:r>
      <w:r w:rsidR="00AE24F0" w:rsidRPr="007C266E">
        <w:rPr>
          <w:rFonts w:ascii="Times New Roman" w:hAnsi="Times New Roman" w:cs="Times New Roman"/>
          <w:sz w:val="23"/>
          <w:szCs w:val="23"/>
          <w:lang w:val="ro-RO"/>
        </w:rPr>
        <w:t>ealizării țintei colective de 32</w:t>
      </w:r>
      <w:r w:rsidRPr="007C266E">
        <w:rPr>
          <w:rFonts w:ascii="Times New Roman" w:hAnsi="Times New Roman" w:cs="Times New Roman"/>
          <w:sz w:val="23"/>
          <w:szCs w:val="23"/>
          <w:lang w:val="ro-RO"/>
        </w:rPr>
        <w:t>% pentru ponderea SRE în consumul final brut de energie la nivel european în 2030, cu eficientizarea costurilor.</w:t>
      </w:r>
    </w:p>
    <w:p w14:paraId="3A980EB1"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6785F49"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Noul model al pieței de energie electrică</w:t>
      </w:r>
    </w:p>
    <w:p w14:paraId="02EC5C33"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099BA90" w14:textId="77777777" w:rsidR="00C43C61" w:rsidRPr="007C266E" w:rsidRDefault="00001B4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Noile</w:t>
      </w:r>
      <w:r w:rsidR="00C43C61" w:rsidRPr="007C266E">
        <w:rPr>
          <w:rFonts w:ascii="Times New Roman" w:hAnsi="Times New Roman" w:cs="Times New Roman"/>
          <w:sz w:val="23"/>
          <w:szCs w:val="23"/>
          <w:lang w:val="ro-RO"/>
        </w:rPr>
        <w:t xml:space="preserve"> reguli comune de funcționare a pieței interne de energie electrică aduc modificări</w:t>
      </w:r>
      <w:r w:rsidR="0025001D" w:rsidRPr="007C266E">
        <w:rPr>
          <w:rFonts w:ascii="Times New Roman" w:hAnsi="Times New Roman" w:cs="Times New Roman"/>
          <w:sz w:val="23"/>
          <w:szCs w:val="23"/>
          <w:lang w:val="ro-RO"/>
        </w:rPr>
        <w:t xml:space="preserve"> substanțiale</w:t>
      </w:r>
      <w:r w:rsidR="00C43C61" w:rsidRPr="007C266E">
        <w:rPr>
          <w:rFonts w:ascii="Times New Roman" w:hAnsi="Times New Roman" w:cs="Times New Roman"/>
          <w:sz w:val="23"/>
          <w:szCs w:val="23"/>
          <w:lang w:val="ro-RO"/>
        </w:rPr>
        <w:t xml:space="preserve"> cuprinse în pachetul „Energie Curată pentru Toți”. Prin </w:t>
      </w:r>
      <w:r w:rsidRPr="007C266E">
        <w:rPr>
          <w:rFonts w:ascii="Times New Roman" w:hAnsi="Times New Roman" w:cs="Times New Roman"/>
          <w:sz w:val="23"/>
          <w:szCs w:val="23"/>
          <w:lang w:val="ro-RO"/>
        </w:rPr>
        <w:t>acestea</w:t>
      </w:r>
      <w:r w:rsidR="00C43C61" w:rsidRPr="007C266E">
        <w:rPr>
          <w:rFonts w:ascii="Times New Roman" w:hAnsi="Times New Roman" w:cs="Times New Roman"/>
          <w:sz w:val="23"/>
          <w:szCs w:val="23"/>
          <w:lang w:val="ro-RO"/>
        </w:rPr>
        <w:t xml:space="preserve">, CE definește principiile generale și detaliile tehnice ale organizării pieței de energie electrică, cu specificarea drepturilor și responsabilităților tuturor tipurilor de participanți la piață. </w:t>
      </w:r>
    </w:p>
    <w:p w14:paraId="6496FC55"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F5B2771"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ceea ce privește piața angro de energie electrică, noul model prevede, in principal, înlăturarea plafoanelor de preț, armonizarea regulilor de dispecerizare pentru toate tipurile de capacități, inclusiv SRE intermitente, reducerea situațiilor de congestie a </w:t>
      </w:r>
      <w:r w:rsidRPr="007C266E">
        <w:rPr>
          <w:rFonts w:ascii="Times New Roman" w:hAnsi="Times New Roman" w:cs="Times New Roman"/>
          <w:sz w:val="23"/>
          <w:szCs w:val="23"/>
          <w:lang w:val="ro-RO"/>
        </w:rPr>
        <w:lastRenderedPageBreak/>
        <w:t>infrastructurii de interconectare transfrontalieră a rețelelor electrice din statele membre printr-o mai bună coordonare între operatorii de transport și de sistem, respectiv prin investiții în proiecte de îmbunătățire a fluxurilor, o mai bună remunerare a participării consumatorilor de energie electrică la piața de echilibrare prin gestiunea cererii.</w:t>
      </w:r>
    </w:p>
    <w:p w14:paraId="3704D65E"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FA0B674"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Pentru piețele cu amănuntul de energie electrică, noul model prevede o mai bună informare și o sporire a drepturilor consumatorilor, inclusiv prin înlesnirea condițiilor de participare la piața de energie electrică din rolul de </w:t>
      </w:r>
      <w:r w:rsidR="00F46422" w:rsidRPr="007C266E">
        <w:rPr>
          <w:rFonts w:ascii="Times New Roman" w:hAnsi="Times New Roman" w:cs="Times New Roman"/>
          <w:sz w:val="23"/>
          <w:szCs w:val="23"/>
          <w:lang w:val="ro-RO"/>
        </w:rPr>
        <w:t>prosumator</w:t>
      </w:r>
      <w:r w:rsidRPr="007C266E">
        <w:rPr>
          <w:rFonts w:ascii="Times New Roman" w:hAnsi="Times New Roman" w:cs="Times New Roman"/>
          <w:sz w:val="23"/>
          <w:szCs w:val="23"/>
          <w:lang w:val="ro-RO"/>
        </w:rPr>
        <w:t xml:space="preserve">, garantarea dreptului de a participa la piața de echilibrare, individual sau prin platforme de centralizare, </w:t>
      </w:r>
      <w:r w:rsidR="0026232D" w:rsidRPr="007C266E">
        <w:rPr>
          <w:rFonts w:ascii="Times New Roman" w:hAnsi="Times New Roman" w:cs="Times New Roman"/>
          <w:sz w:val="23"/>
          <w:szCs w:val="23"/>
          <w:lang w:val="ro-RO"/>
        </w:rPr>
        <w:t>încurajându-se</w:t>
      </w:r>
      <w:r w:rsidRPr="007C266E">
        <w:rPr>
          <w:rFonts w:ascii="Times New Roman" w:hAnsi="Times New Roman" w:cs="Times New Roman"/>
          <w:sz w:val="23"/>
          <w:szCs w:val="23"/>
          <w:lang w:val="ro-RO"/>
        </w:rPr>
        <w:t xml:space="preserve"> astfel managementul activ al propriului consum. Nevoile consumatorilor vulnerabili vor fi acoperite prin păstrarea tarifului social sau prin măsuri alternative adecvate de protecție socială și de creștere a eficienței energetice. </w:t>
      </w:r>
    </w:p>
    <w:p w14:paraId="638465F7"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6948AF2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Noul model al pieței prevede crearea unei entități de coordonare a activității operatorilor rețelelor de distribuție la nivel european (asemănătoare ENTSO-E), cu atribuț</w:t>
      </w:r>
      <w:r w:rsidR="007A5D52" w:rsidRPr="007C266E">
        <w:rPr>
          <w:rFonts w:ascii="Times New Roman" w:hAnsi="Times New Roman" w:cs="Times New Roman"/>
          <w:sz w:val="23"/>
          <w:szCs w:val="23"/>
          <w:lang w:val="ro-RO"/>
        </w:rPr>
        <w:t>ii în integrarea SRE, producția</w:t>
      </w:r>
      <w:r w:rsidRPr="007C266E">
        <w:rPr>
          <w:rFonts w:ascii="Times New Roman" w:hAnsi="Times New Roman" w:cs="Times New Roman"/>
          <w:sz w:val="23"/>
          <w:szCs w:val="23"/>
          <w:lang w:val="ro-RO"/>
        </w:rPr>
        <w:t xml:space="preserve"> distribuită de energie electrică, stocarea energiei electrice, sisteme inteligente de măsurare și control al consumului etc.</w:t>
      </w:r>
    </w:p>
    <w:p w14:paraId="2474B075"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BA235F2"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De asemenea,</w:t>
      </w:r>
      <w:r w:rsidR="00C8079A"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 xml:space="preserve">noul model al pieței are în vedere îmbunătățirea capacității de gestiune a riscurilor la nivel regional, </w:t>
      </w:r>
      <w:r w:rsidR="000E7A5B" w:rsidRPr="007C266E">
        <w:rPr>
          <w:rFonts w:ascii="Times New Roman" w:hAnsi="Times New Roman" w:cs="Times New Roman"/>
          <w:sz w:val="23"/>
          <w:szCs w:val="23"/>
          <w:lang w:val="ro-RO"/>
        </w:rPr>
        <w:t>î</w:t>
      </w:r>
      <w:r w:rsidRPr="007C266E">
        <w:rPr>
          <w:rFonts w:ascii="Times New Roman" w:hAnsi="Times New Roman" w:cs="Times New Roman"/>
          <w:sz w:val="23"/>
          <w:szCs w:val="23"/>
          <w:lang w:val="ro-RO"/>
        </w:rPr>
        <w:t xml:space="preserve">n principal prin dezvoltarea unei metodologii comune pentru analiza riscurilor și a modului de prevenire și pregătire a situațiilor de criză, respectiv pentru gestionarea acestor situații atunci când acestea apar. </w:t>
      </w:r>
    </w:p>
    <w:p w14:paraId="08FC5CA9"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547B6768"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O provocare o constituie implementarea Regulamentul</w:t>
      </w:r>
      <w:r w:rsidR="00955090" w:rsidRPr="007C266E">
        <w:rPr>
          <w:rFonts w:ascii="Times New Roman" w:hAnsi="Times New Roman" w:cs="Times New Roman"/>
          <w:sz w:val="23"/>
          <w:szCs w:val="23"/>
          <w:lang w:val="ro-RO"/>
        </w:rPr>
        <w:t>ui</w:t>
      </w:r>
      <w:r w:rsidRPr="007C266E">
        <w:rPr>
          <w:rFonts w:ascii="Times New Roman" w:hAnsi="Times New Roman" w:cs="Times New Roman"/>
          <w:sz w:val="23"/>
          <w:szCs w:val="23"/>
          <w:lang w:val="ro-RO"/>
        </w:rPr>
        <w:t xml:space="preserve"> (UE) 2015/1222 al Comisiei de stabilire a unor linii directoare privind alocarea capacităților și gestionarea congestiilor, care stabileşte linii directoare detaliate privind alocarea capacităților interzonale și gestionarea congestiilor, vizând </w:t>
      </w:r>
      <w:r w:rsidRPr="007C266E">
        <w:rPr>
          <w:rFonts w:ascii="Times New Roman" w:hAnsi="Times New Roman" w:cs="Times New Roman"/>
          <w:sz w:val="23"/>
          <w:szCs w:val="23"/>
          <w:lang w:val="ro-RO"/>
        </w:rPr>
        <w:lastRenderedPageBreak/>
        <w:t>astfel cuplările unice ale piețelor de energie pentru ziua următoare și ale piețelor intrazilnice, în plan european.</w:t>
      </w:r>
    </w:p>
    <w:p w14:paraId="1D3ADA79"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5DC17B0"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Guvernanța Uniunii Energetice</w:t>
      </w:r>
    </w:p>
    <w:p w14:paraId="1785C2EF"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1941861"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Pentru gestionarea eficientă a tuturor aspectelor ce țin de cele cinci dimensiuni ale Uniunii Energetice și de core</w:t>
      </w:r>
      <w:r w:rsidR="00C8079A" w:rsidRPr="007C266E">
        <w:rPr>
          <w:rFonts w:ascii="Times New Roman" w:hAnsi="Times New Roman" w:cs="Times New Roman"/>
          <w:sz w:val="23"/>
          <w:szCs w:val="23"/>
          <w:lang w:val="ro-RO"/>
        </w:rPr>
        <w:t>larea acestora cu alte domenii</w:t>
      </w:r>
      <w:r w:rsidR="00001B47" w:rsidRPr="007C266E">
        <w:rPr>
          <w:rFonts w:ascii="Times New Roman" w:hAnsi="Times New Roman" w:cs="Times New Roman"/>
          <w:sz w:val="23"/>
          <w:szCs w:val="23"/>
          <w:lang w:val="ro-RO"/>
        </w:rPr>
        <w:t>,</w:t>
      </w:r>
      <w:r w:rsidR="00C8079A" w:rsidRPr="007C266E">
        <w:rPr>
          <w:rFonts w:ascii="Times New Roman" w:hAnsi="Times New Roman" w:cs="Times New Roman"/>
          <w:sz w:val="23"/>
          <w:szCs w:val="23"/>
          <w:lang w:val="ro-RO"/>
        </w:rPr>
        <w:t xml:space="preserve"> </w:t>
      </w:r>
      <w:r w:rsidR="00001B47" w:rsidRPr="007C266E">
        <w:rPr>
          <w:rFonts w:ascii="Times New Roman" w:hAnsi="Times New Roman" w:cs="Times New Roman"/>
          <w:sz w:val="23"/>
          <w:szCs w:val="23"/>
          <w:lang w:val="ro-RO"/>
        </w:rPr>
        <w:t>R</w:t>
      </w:r>
      <w:r w:rsidRPr="007C266E">
        <w:rPr>
          <w:rFonts w:ascii="Times New Roman" w:hAnsi="Times New Roman" w:cs="Times New Roman"/>
          <w:sz w:val="23"/>
          <w:szCs w:val="23"/>
          <w:lang w:val="ro-RO"/>
        </w:rPr>
        <w:t>egulament</w:t>
      </w:r>
      <w:r w:rsidR="00001B47" w:rsidRPr="007C266E">
        <w:rPr>
          <w:rFonts w:ascii="Times New Roman" w:hAnsi="Times New Roman" w:cs="Times New Roman"/>
          <w:sz w:val="23"/>
          <w:szCs w:val="23"/>
          <w:lang w:val="ro-RO"/>
        </w:rPr>
        <w:t>ul</w:t>
      </w:r>
      <w:r w:rsidRPr="007C266E">
        <w:rPr>
          <w:rFonts w:ascii="Times New Roman" w:hAnsi="Times New Roman" w:cs="Times New Roman"/>
          <w:sz w:val="23"/>
          <w:szCs w:val="23"/>
          <w:lang w:val="ro-RO"/>
        </w:rPr>
        <w:t xml:space="preserve"> cu privire la guvernanța </w:t>
      </w:r>
      <w:r w:rsidR="000E7A5B" w:rsidRPr="007C266E">
        <w:rPr>
          <w:rFonts w:ascii="Times New Roman" w:hAnsi="Times New Roman" w:cs="Times New Roman"/>
          <w:sz w:val="23"/>
          <w:szCs w:val="23"/>
          <w:lang w:val="ro-RO"/>
        </w:rPr>
        <w:t>u</w:t>
      </w:r>
      <w:r w:rsidRPr="007C266E">
        <w:rPr>
          <w:rFonts w:ascii="Times New Roman" w:hAnsi="Times New Roman" w:cs="Times New Roman"/>
          <w:sz w:val="23"/>
          <w:szCs w:val="23"/>
          <w:lang w:val="ro-RO"/>
        </w:rPr>
        <w:t xml:space="preserve">niunii </w:t>
      </w:r>
      <w:r w:rsidR="000E7A5B"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nergetice are </w:t>
      </w:r>
      <w:r w:rsidR="00001B47" w:rsidRPr="007C266E">
        <w:rPr>
          <w:rFonts w:ascii="Times New Roman" w:hAnsi="Times New Roman" w:cs="Times New Roman"/>
          <w:sz w:val="23"/>
          <w:szCs w:val="23"/>
          <w:lang w:val="ro-RO"/>
        </w:rPr>
        <w:t>î</w:t>
      </w:r>
      <w:r w:rsidRPr="007C266E">
        <w:rPr>
          <w:rFonts w:ascii="Times New Roman" w:hAnsi="Times New Roman" w:cs="Times New Roman"/>
          <w:sz w:val="23"/>
          <w:szCs w:val="23"/>
          <w:lang w:val="ro-RO"/>
        </w:rPr>
        <w:t xml:space="preserve">n vedere crearea unui cadru coerent, simplificat și integrat de reglementare și dialog între CE și părțile interesate. </w:t>
      </w:r>
    </w:p>
    <w:p w14:paraId="2977F4A4"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9F10248"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Principalul instrument introdus prin acest regulament </w:t>
      </w:r>
      <w:r w:rsidR="00001B47" w:rsidRPr="007C266E">
        <w:rPr>
          <w:rFonts w:ascii="Times New Roman" w:hAnsi="Times New Roman" w:cs="Times New Roman"/>
          <w:sz w:val="23"/>
          <w:szCs w:val="23"/>
          <w:lang w:val="ro-RO"/>
        </w:rPr>
        <w:t>este</w:t>
      </w:r>
      <w:r w:rsidRPr="007C266E">
        <w:rPr>
          <w:rFonts w:ascii="Times New Roman" w:hAnsi="Times New Roman" w:cs="Times New Roman"/>
          <w:sz w:val="23"/>
          <w:szCs w:val="23"/>
          <w:lang w:val="ro-RO"/>
        </w:rPr>
        <w:t xml:space="preserve"> Planul Național Integrat pentru Energie și Climă (PNIESC), care înlocuiește numeroase obligații, uneori redundante, de raportare la nivel național – sunt integrate 31 de obligații de raportare și suprimate alte 23. </w:t>
      </w:r>
      <w:r w:rsidR="00001B47" w:rsidRPr="007C266E">
        <w:rPr>
          <w:rFonts w:ascii="Times New Roman" w:hAnsi="Times New Roman" w:cs="Times New Roman"/>
          <w:sz w:val="23"/>
          <w:szCs w:val="23"/>
          <w:lang w:val="ro-RO"/>
        </w:rPr>
        <w:t>Acestea vor fi evaluate de CE în iunie 2020 ș</w:t>
      </w:r>
      <w:r w:rsidR="003D5DE0" w:rsidRPr="007C266E">
        <w:rPr>
          <w:rFonts w:ascii="Times New Roman" w:hAnsi="Times New Roman" w:cs="Times New Roman"/>
          <w:sz w:val="23"/>
          <w:szCs w:val="23"/>
          <w:lang w:val="ro-RO"/>
        </w:rPr>
        <w:t>i se va stabili</w:t>
      </w:r>
      <w:r w:rsidR="00001B47" w:rsidRPr="007C266E">
        <w:rPr>
          <w:rFonts w:ascii="Times New Roman" w:hAnsi="Times New Roman" w:cs="Times New Roman"/>
          <w:sz w:val="23"/>
          <w:szCs w:val="23"/>
          <w:lang w:val="ro-RO"/>
        </w:rPr>
        <w:t xml:space="preserve"> necesitatea </w:t>
      </w:r>
      <w:r w:rsidR="003D5DE0" w:rsidRPr="007C266E">
        <w:rPr>
          <w:rFonts w:ascii="Times New Roman" w:hAnsi="Times New Roman" w:cs="Times New Roman"/>
          <w:sz w:val="23"/>
          <w:szCs w:val="23"/>
          <w:lang w:val="ro-RO"/>
        </w:rPr>
        <w:t xml:space="preserve">implementării </w:t>
      </w:r>
      <w:r w:rsidR="00001B47" w:rsidRPr="007C266E">
        <w:rPr>
          <w:rFonts w:ascii="Times New Roman" w:hAnsi="Times New Roman" w:cs="Times New Roman"/>
          <w:sz w:val="23"/>
          <w:szCs w:val="23"/>
          <w:lang w:val="ro-RO"/>
        </w:rPr>
        <w:t>unor măsuri suplimentare în cazul în care nivelul de ambiție al acestora nu este suficient. Rezultatele acestei evaluări vor sta la baza procesului de stabilire a unor obiective mai ambițioase în materie de climă pentru 2030, perspectivă în care Comisia va examina și va propune revizuirea, după caz, a legislației relevante în domen</w:t>
      </w:r>
      <w:r w:rsidR="001105F2" w:rsidRPr="007C266E">
        <w:rPr>
          <w:rFonts w:ascii="Times New Roman" w:hAnsi="Times New Roman" w:cs="Times New Roman"/>
          <w:sz w:val="23"/>
          <w:szCs w:val="23"/>
          <w:lang w:val="ro-RO"/>
        </w:rPr>
        <w:t>iul energiei până în iunie 2021</w:t>
      </w:r>
      <w:r w:rsidR="003D5DE0" w:rsidRPr="007C266E">
        <w:rPr>
          <w:rFonts w:ascii="Times New Roman" w:hAnsi="Times New Roman" w:cs="Times New Roman"/>
          <w:sz w:val="23"/>
          <w:szCs w:val="23"/>
          <w:lang w:val="ro-RO"/>
        </w:rPr>
        <w:t xml:space="preserve">. </w:t>
      </w:r>
    </w:p>
    <w:p w14:paraId="2DF16D2B" w14:textId="77777777" w:rsidR="00C43C61" w:rsidRPr="007C266E" w:rsidRDefault="00C43C61" w:rsidP="000E7A5B">
      <w:pPr>
        <w:pStyle w:val="Heading2"/>
        <w:spacing w:line="240" w:lineRule="auto"/>
        <w:rPr>
          <w:rFonts w:ascii="Times New Roman" w:hAnsi="Times New Roman" w:cs="Times New Roman"/>
          <w:sz w:val="23"/>
          <w:szCs w:val="23"/>
          <w:lang w:val="ro-RO"/>
        </w:rPr>
      </w:pPr>
      <w:bookmarkStart w:id="34" w:name="_Toc44400866"/>
      <w:r w:rsidRPr="007C266E">
        <w:rPr>
          <w:rFonts w:ascii="Times New Roman" w:hAnsi="Times New Roman" w:cs="Times New Roman"/>
          <w:sz w:val="23"/>
          <w:szCs w:val="23"/>
          <w:lang w:val="ro-RO"/>
        </w:rPr>
        <w:t>IV.3.</w:t>
      </w:r>
      <w:r w:rsidRPr="007C266E">
        <w:rPr>
          <w:rFonts w:ascii="Times New Roman" w:hAnsi="Times New Roman" w:cs="Times New Roman"/>
          <w:sz w:val="23"/>
          <w:szCs w:val="23"/>
          <w:lang w:val="ro-RO"/>
        </w:rPr>
        <w:tab/>
        <w:t>Contextul regional: Europa Centrală și de Est și Bazinul Mării Negre</w:t>
      </w:r>
      <w:bookmarkEnd w:id="34"/>
      <w:r w:rsidR="00EE4C0C" w:rsidRPr="007C266E">
        <w:rPr>
          <w:rFonts w:ascii="Times New Roman" w:hAnsi="Times New Roman" w:cs="Times New Roman"/>
          <w:sz w:val="23"/>
          <w:szCs w:val="23"/>
          <w:lang w:val="ro-RO"/>
        </w:rPr>
        <w:t xml:space="preserve"> </w:t>
      </w:r>
    </w:p>
    <w:p w14:paraId="21F5E729" w14:textId="77777777" w:rsidR="00C43C61" w:rsidRPr="007C266E" w:rsidRDefault="00C43C61" w:rsidP="000E7A5B">
      <w:pPr>
        <w:pStyle w:val="Heading3"/>
        <w:spacing w:line="240" w:lineRule="auto"/>
        <w:rPr>
          <w:rFonts w:ascii="Times New Roman" w:hAnsi="Times New Roman" w:cs="Times New Roman"/>
          <w:sz w:val="23"/>
          <w:szCs w:val="23"/>
          <w:lang w:val="ro-RO"/>
        </w:rPr>
      </w:pPr>
      <w:bookmarkStart w:id="35" w:name="_Toc44400867"/>
      <w:r w:rsidRPr="007C266E">
        <w:rPr>
          <w:rFonts w:ascii="Times New Roman" w:hAnsi="Times New Roman" w:cs="Times New Roman"/>
          <w:sz w:val="23"/>
          <w:szCs w:val="23"/>
          <w:lang w:val="ro-RO"/>
        </w:rPr>
        <w:t>IV.3.1.</w:t>
      </w:r>
      <w:r w:rsidRPr="007C266E">
        <w:rPr>
          <w:rFonts w:ascii="Times New Roman" w:hAnsi="Times New Roman" w:cs="Times New Roman"/>
          <w:sz w:val="23"/>
          <w:szCs w:val="23"/>
          <w:lang w:val="ro-RO"/>
        </w:rPr>
        <w:tab/>
        <w:t>Interconectarea rețelelor de transport al energiei</w:t>
      </w:r>
      <w:bookmarkEnd w:id="35"/>
      <w:r w:rsidRPr="007C266E">
        <w:rPr>
          <w:rFonts w:ascii="Times New Roman" w:hAnsi="Times New Roman" w:cs="Times New Roman"/>
          <w:sz w:val="23"/>
          <w:szCs w:val="23"/>
          <w:lang w:val="ro-RO"/>
        </w:rPr>
        <w:t xml:space="preserve"> </w:t>
      </w:r>
    </w:p>
    <w:p w14:paraId="71B1CFE1" w14:textId="77777777" w:rsidR="00D26E2A" w:rsidRPr="007C266E" w:rsidRDefault="00D26E2A" w:rsidP="006E1D2D">
      <w:pPr>
        <w:spacing w:after="0" w:line="240" w:lineRule="auto"/>
        <w:jc w:val="both"/>
        <w:rPr>
          <w:rFonts w:ascii="Times New Roman" w:hAnsi="Times New Roman" w:cs="Times New Roman"/>
          <w:sz w:val="23"/>
          <w:szCs w:val="23"/>
          <w:lang w:val="ro-RO"/>
        </w:rPr>
      </w:pPr>
    </w:p>
    <w:p w14:paraId="4D80EF96" w14:textId="77777777" w:rsidR="002636DE" w:rsidRPr="007C266E" w:rsidRDefault="00C43C61" w:rsidP="0038022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Interconectările în construcție ale Europei Centrale și de Est contribuie la dezvoltarea piețelor de energie şi a unor mecanisme regionale de securitate energetică care vor </w:t>
      </w:r>
      <w:r w:rsidR="0026232D" w:rsidRPr="007C266E">
        <w:rPr>
          <w:rFonts w:ascii="Times New Roman" w:hAnsi="Times New Roman" w:cs="Times New Roman"/>
          <w:b/>
          <w:sz w:val="23"/>
          <w:szCs w:val="23"/>
          <w:lang w:val="ro-RO"/>
        </w:rPr>
        <w:t>funcționa</w:t>
      </w:r>
      <w:r w:rsidRPr="007C266E">
        <w:rPr>
          <w:rFonts w:ascii="Times New Roman" w:hAnsi="Times New Roman" w:cs="Times New Roman"/>
          <w:b/>
          <w:sz w:val="23"/>
          <w:szCs w:val="23"/>
          <w:lang w:val="ro-RO"/>
        </w:rPr>
        <w:t xml:space="preserve"> după regulile comune ale UE. Cooperarea regională este o soluție eficientă la crizele aprovizionării cu energie. </w:t>
      </w:r>
    </w:p>
    <w:p w14:paraId="66742947" w14:textId="77777777" w:rsidR="002636DE" w:rsidRPr="007C266E" w:rsidRDefault="002636DE" w:rsidP="00A86877">
      <w:pPr>
        <w:spacing w:after="0" w:line="240" w:lineRule="auto"/>
        <w:jc w:val="both"/>
        <w:rPr>
          <w:rFonts w:ascii="Times New Roman" w:hAnsi="Times New Roman" w:cs="Times New Roman"/>
          <w:sz w:val="23"/>
          <w:szCs w:val="23"/>
          <w:lang w:val="ro-RO"/>
        </w:rPr>
      </w:pPr>
    </w:p>
    <w:p w14:paraId="11607631" w14:textId="77777777" w:rsidR="00C43C61" w:rsidRPr="007C266E" w:rsidRDefault="00C43C61"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În regiune, față de Europa de Vest, interconectările, capacitățile moderne de înmagazinare a gazului, instituțiile, regulile de funcționare a pieței și calitatea infrastructurii sunt încă în curs de dezvoltare.</w:t>
      </w:r>
    </w:p>
    <w:p w14:paraId="3CA2F0C5" w14:textId="77777777" w:rsidR="00C43C61" w:rsidRPr="007C266E" w:rsidRDefault="00C43C61" w:rsidP="002F5C09">
      <w:pPr>
        <w:spacing w:after="0" w:line="240" w:lineRule="auto"/>
        <w:jc w:val="both"/>
        <w:rPr>
          <w:rFonts w:ascii="Times New Roman" w:hAnsi="Times New Roman" w:cs="Times New Roman"/>
          <w:sz w:val="23"/>
          <w:szCs w:val="23"/>
          <w:lang w:val="ro-RO"/>
        </w:rPr>
      </w:pPr>
    </w:p>
    <w:p w14:paraId="51FB8D88" w14:textId="77777777" w:rsidR="002636DE" w:rsidRPr="007C266E" w:rsidRDefault="000E4C76"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Pe de altă parte, </w:t>
      </w:r>
      <w:r w:rsidR="00C43C61" w:rsidRPr="007C266E">
        <w:rPr>
          <w:rFonts w:ascii="Times New Roman" w:hAnsi="Times New Roman" w:cs="Times New Roman"/>
          <w:sz w:val="23"/>
          <w:szCs w:val="23"/>
          <w:lang w:val="ro-RO"/>
        </w:rPr>
        <w:t xml:space="preserve">UE și-a definit ca obiective finalizarea și funcţionarea pieţei interne a energiei electrice și a comerţului transfrontalier, precum și asigurarea unei gestionări optime, a unei exploatări coordonate și a unei evoluţii tehnice sănătoase a reţelei europene de transport de energie electrică. </w:t>
      </w:r>
    </w:p>
    <w:p w14:paraId="3A717DB0" w14:textId="77777777" w:rsidR="002636DE" w:rsidRPr="007C266E" w:rsidRDefault="002636DE" w:rsidP="009E5804">
      <w:pPr>
        <w:spacing w:after="0" w:line="240" w:lineRule="auto"/>
        <w:jc w:val="both"/>
        <w:rPr>
          <w:rFonts w:ascii="Times New Roman" w:hAnsi="Times New Roman" w:cs="Times New Roman"/>
          <w:sz w:val="23"/>
          <w:szCs w:val="23"/>
          <w:lang w:val="ro-RO"/>
        </w:rPr>
      </w:pPr>
    </w:p>
    <w:p w14:paraId="2EEF9644"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La nivelul asociației europene a operatorilor de transport și de sistem (ENTSO-E) se elaborează un plan de dezvoltare a reţelei electrice pe zece ani și cuprinde o evaluare cu privire la </w:t>
      </w:r>
      <w:r w:rsidR="0026232D" w:rsidRPr="007C266E">
        <w:rPr>
          <w:rFonts w:ascii="Times New Roman" w:hAnsi="Times New Roman" w:cs="Times New Roman"/>
          <w:sz w:val="23"/>
          <w:szCs w:val="23"/>
          <w:lang w:val="ro-RO"/>
        </w:rPr>
        <w:t>adecvanț</w:t>
      </w:r>
      <w:r w:rsidR="00EC31B7"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 xml:space="preserve"> sistemului electroenergetic pan-european, la fiecare doi ani. Acest plan are în vedere modelul integrat al reţelei electrice europene, elaborarea de scenarii şi de evaluare a rezilienţei sistemului.</w:t>
      </w:r>
    </w:p>
    <w:p w14:paraId="38647390"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0B23262"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cadrul ENTSO-E au fost create şase grupuri regionale în cadrul cărora se analizează şi se finalizează planul european de dezvoltare a rețelei.</w:t>
      </w:r>
    </w:p>
    <w:p w14:paraId="4F438FA0"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6DE9C58A"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r w:rsidR="00F840EF" w:rsidRPr="007C266E">
        <w:rPr>
          <w:rFonts w:ascii="Times New Roman" w:eastAsia="Times New Roman" w:hAnsi="Times New Roman" w:cs="Times New Roman"/>
          <w:noProof/>
          <w:sz w:val="23"/>
          <w:szCs w:val="23"/>
        </w:rPr>
        <w:drawing>
          <wp:inline distT="0" distB="0" distL="0" distR="0" wp14:anchorId="4DE353A0" wp14:editId="250BFEA3">
            <wp:extent cx="2691973"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7117" cy="1973188"/>
                    </a:xfrm>
                    <a:prstGeom prst="rect">
                      <a:avLst/>
                    </a:prstGeom>
                    <a:noFill/>
                    <a:ln>
                      <a:noFill/>
                    </a:ln>
                  </pic:spPr>
                </pic:pic>
              </a:graphicData>
            </a:graphic>
          </wp:inline>
        </w:drawing>
      </w:r>
    </w:p>
    <w:p w14:paraId="3C4C3153" w14:textId="77777777" w:rsidR="00F840EF" w:rsidRPr="007C266E" w:rsidRDefault="00F840EF" w:rsidP="009E5804">
      <w:pPr>
        <w:spacing w:after="0" w:line="240" w:lineRule="auto"/>
        <w:jc w:val="both"/>
        <w:rPr>
          <w:rFonts w:ascii="Times New Roman" w:hAnsi="Times New Roman" w:cs="Times New Roman"/>
          <w:color w:val="FF0000"/>
          <w:sz w:val="23"/>
          <w:szCs w:val="23"/>
          <w:lang w:val="ro-RO"/>
        </w:rPr>
      </w:pPr>
    </w:p>
    <w:p w14:paraId="520D1019" w14:textId="352ADD7B" w:rsidR="00C43C61" w:rsidRPr="007C266E" w:rsidRDefault="00C43C61" w:rsidP="009E5804">
      <w:pPr>
        <w:spacing w:after="0" w:line="240" w:lineRule="auto"/>
        <w:jc w:val="both"/>
        <w:rPr>
          <w:rFonts w:ascii="Times New Roman" w:hAnsi="Times New Roman" w:cs="Times New Roman"/>
          <w:b/>
          <w:i/>
          <w:sz w:val="23"/>
          <w:szCs w:val="23"/>
          <w:lang w:val="ro-RO"/>
        </w:rPr>
      </w:pPr>
      <w:r w:rsidRPr="007C266E">
        <w:rPr>
          <w:rFonts w:ascii="Times New Roman" w:hAnsi="Times New Roman" w:cs="Times New Roman"/>
          <w:b/>
          <w:i/>
          <w:sz w:val="23"/>
          <w:szCs w:val="23"/>
          <w:lang w:val="ro-RO"/>
        </w:rPr>
        <w:t>Regiunile ENTSO-E (sursa: ENTSO-E)</w:t>
      </w:r>
    </w:p>
    <w:p w14:paraId="5A2F6BD8"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6849125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Regulamentul (UE) nr. 347/2013 al Parlamentului European și al Consiliului privind liniile directoare pentru infrastructura energetică transeuropeană, propune un set de </w:t>
      </w:r>
      <w:r w:rsidRPr="007C266E">
        <w:rPr>
          <w:rFonts w:ascii="Times New Roman" w:hAnsi="Times New Roman" w:cs="Times New Roman"/>
          <w:sz w:val="23"/>
          <w:szCs w:val="23"/>
          <w:lang w:val="ro-RO"/>
        </w:rPr>
        <w:lastRenderedPageBreak/>
        <w:t>măsuri pentru atingerea obiectivelor UE în domeniu, ca: integrarea şi funcţionarea pieţei interne a energiei, asigurarea securităţii energetice a UE, promovarea şi dezvoltarea eficienţei energetice şi a energiei din surse regenerabile şi pro</w:t>
      </w:r>
      <w:r w:rsidR="0026232D" w:rsidRPr="007C266E">
        <w:rPr>
          <w:rFonts w:ascii="Times New Roman" w:hAnsi="Times New Roman" w:cs="Times New Roman"/>
          <w:sz w:val="23"/>
          <w:szCs w:val="23"/>
          <w:lang w:val="ro-RO"/>
        </w:rPr>
        <w:t>movarea interconectării reţele</w:t>
      </w:r>
      <w:r w:rsidRPr="007C266E">
        <w:rPr>
          <w:rFonts w:ascii="Times New Roman" w:hAnsi="Times New Roman" w:cs="Times New Roman"/>
          <w:sz w:val="23"/>
          <w:szCs w:val="23"/>
          <w:lang w:val="ro-RO"/>
        </w:rPr>
        <w:t>lor energetice.</w:t>
      </w:r>
    </w:p>
    <w:p w14:paraId="56524BE8"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2E36E01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Regulamentul (UE) nr. 347/2013 a identificat, pentru perioada 2020 şi după, un număr de 12 (douăsprezece) coridoare şi domenii transeuropene prioritare care acoperă reţelele de energie electrică şi de gaze, precum şi infrastructura de transport a petrolului şi dioxidului de carbon. </w:t>
      </w:r>
    </w:p>
    <w:p w14:paraId="0A40BAC4"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04998D6"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România face parte din coridorul prioritar nr. 3 privind energia electrică: „Interconexiuni nord-sud privind energia electrică din Europa Centrală şi din Europa de Sud-Est” („NSI East Electricity”): interconexiuni şi linii interne în direcţiile nord-sud şi est-vest pentru finalizarea pieţei interne şi pentru integrarea producţiei provenite din surse regenerabile. State membre implicate: Bulgaria, Republica Cehă, Germania, Grecia, Croaţia, Italia, Cipru, Ungaria, Austria, Polonia, România, Slovenia, Slovacia.</w:t>
      </w:r>
    </w:p>
    <w:p w14:paraId="52794D51"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297F4C5"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Transelectrica SA este implicată în mai multe proiecte incluse pe lista proiectelor de interes comun la nivel european, care sunt menționate mai jos.</w:t>
      </w:r>
    </w:p>
    <w:p w14:paraId="6A95E2F6" w14:textId="77777777" w:rsidR="00D26E2A" w:rsidRPr="007C266E" w:rsidRDefault="00D26E2A" w:rsidP="009E5804">
      <w:pPr>
        <w:spacing w:after="0" w:line="240" w:lineRule="auto"/>
        <w:jc w:val="both"/>
        <w:rPr>
          <w:rFonts w:ascii="Times New Roman" w:hAnsi="Times New Roman" w:cs="Times New Roman"/>
          <w:sz w:val="23"/>
          <w:szCs w:val="23"/>
          <w:lang w:val="ro-RO"/>
        </w:rPr>
      </w:pPr>
    </w:p>
    <w:p w14:paraId="1330D674"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 xml:space="preserve">Proiectul 138 „Black Sea Corridor” </w:t>
      </w:r>
    </w:p>
    <w:p w14:paraId="539FE6DF"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3868E4D6"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Proiectul „Black Sea Corridor” face parte din coridorul prioritar privind energia electrică: „Interconexiuni nord-sud privind energia electrică din Europa Centrală şi din Europa de Sud-Est („NSI East Electricity”) și are rolul de a consolida coridorul de transport al energiei electrice de-a lungul coastei Mării Negre (România-Bulgaria) și între coastă și restul Europei.</w:t>
      </w:r>
    </w:p>
    <w:p w14:paraId="2B1FA7D5"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87651CB"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Acest proiect contribuie semnificativ, prin creşterea capacităţii de interconexiune dintre România și Bulgaria şi prin întărirea </w:t>
      </w:r>
      <w:r w:rsidRPr="007C266E">
        <w:rPr>
          <w:rFonts w:ascii="Times New Roman" w:hAnsi="Times New Roman" w:cs="Times New Roman"/>
          <w:sz w:val="23"/>
          <w:szCs w:val="23"/>
          <w:lang w:val="ro-RO"/>
        </w:rPr>
        <w:lastRenderedPageBreak/>
        <w:t xml:space="preserve">infrastructurii care va susţine transportul fluxurilor de putere între coasta Mării Negre şi coasta Mării Nordului/ Oceanului Atlantic, la implementarea priorităţilor strategice ale Uniunii Europene privind infrastructura energetică transeuropeană, condiţie obligatorie pentru realizarea obiectivelor politicii în domeniul energiei şi climei. </w:t>
      </w:r>
    </w:p>
    <w:p w14:paraId="6E2CDA85"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9C8113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De asemenea, prin intermediul </w:t>
      </w:r>
      <w:r w:rsidR="0026232D" w:rsidRPr="007C266E">
        <w:rPr>
          <w:rFonts w:ascii="Times New Roman" w:hAnsi="Times New Roman" w:cs="Times New Roman"/>
          <w:sz w:val="23"/>
          <w:szCs w:val="23"/>
          <w:lang w:val="ro-RO"/>
        </w:rPr>
        <w:t>implementării</w:t>
      </w:r>
      <w:r w:rsidRPr="007C266E">
        <w:rPr>
          <w:rFonts w:ascii="Times New Roman" w:hAnsi="Times New Roman" w:cs="Times New Roman"/>
          <w:sz w:val="23"/>
          <w:szCs w:val="23"/>
          <w:lang w:val="ro-RO"/>
        </w:rPr>
        <w:t xml:space="preserve"> acestui proiect se va realiza consolidarea integrării pieței regionale și europene de energie, lucru c</w:t>
      </w:r>
      <w:r w:rsidR="000866F2" w:rsidRPr="007C266E">
        <w:rPr>
          <w:rFonts w:ascii="Times New Roman" w:hAnsi="Times New Roman" w:cs="Times New Roman"/>
          <w:sz w:val="23"/>
          <w:szCs w:val="23"/>
          <w:lang w:val="ro-RO"/>
        </w:rPr>
        <w:t>ar</w:t>
      </w:r>
      <w:r w:rsidRPr="007C266E">
        <w:rPr>
          <w:rFonts w:ascii="Times New Roman" w:hAnsi="Times New Roman" w:cs="Times New Roman"/>
          <w:sz w:val="23"/>
          <w:szCs w:val="23"/>
          <w:lang w:val="ro-RO"/>
        </w:rPr>
        <w:t>e va permite creșterea schimburilor din zonă. Dezvoltarea surselor regenerabile de energie cu caracter intermitent va fi posibilă prin capacitatea rețelei de a transporta energia produsă din surse regenerabile din Sud-Estul Europei până la principalele centre de consum și situri de depozitare localizate în centrul Europei și respectiv nordul Europei. Componentele proiectului sunt următoarele:</w:t>
      </w:r>
    </w:p>
    <w:p w14:paraId="1B49FA73" w14:textId="77777777" w:rsidR="002636DE" w:rsidRPr="007C266E" w:rsidRDefault="00C43C61" w:rsidP="002500F7">
      <w:pPr>
        <w:pStyle w:val="ListParagraph"/>
        <w:numPr>
          <w:ilvl w:val="0"/>
          <w:numId w:val="3"/>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LEA nouă 400 kV d.c. între stațiile existente Cernavodă și Stâlpu</w:t>
      </w:r>
      <w:r w:rsidR="00EF5915"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cu un circuit intrare/ieșire în stația 400 kV Gura </w:t>
      </w:r>
      <w:r w:rsidR="0026232D" w:rsidRPr="007C266E">
        <w:rPr>
          <w:rFonts w:ascii="Times New Roman" w:hAnsi="Times New Roman" w:cs="Times New Roman"/>
          <w:sz w:val="23"/>
          <w:szCs w:val="23"/>
          <w:lang w:val="ro-RO"/>
        </w:rPr>
        <w:t>Ialomiței</w:t>
      </w:r>
      <w:r w:rsidRPr="007C266E">
        <w:rPr>
          <w:rFonts w:ascii="Times New Roman" w:hAnsi="Times New Roman" w:cs="Times New Roman"/>
          <w:sz w:val="23"/>
          <w:szCs w:val="23"/>
          <w:lang w:val="ro-RO"/>
        </w:rPr>
        <w:t>.</w:t>
      </w:r>
    </w:p>
    <w:p w14:paraId="0019C47B" w14:textId="77777777" w:rsidR="002636DE" w:rsidRPr="007C266E" w:rsidRDefault="00C43C61" w:rsidP="002500F7">
      <w:pPr>
        <w:pStyle w:val="ListParagraph"/>
        <w:numPr>
          <w:ilvl w:val="0"/>
          <w:numId w:val="3"/>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LEA nouă 400 kV d.c. (cu un circuit echipat) între stațiile existente Smârdan și Gutinaș; </w:t>
      </w:r>
    </w:p>
    <w:p w14:paraId="779346B9" w14:textId="77777777" w:rsidR="00C43C61" w:rsidRPr="007C266E" w:rsidRDefault="00C43C61" w:rsidP="002500F7">
      <w:pPr>
        <w:pStyle w:val="ListParagraph"/>
        <w:numPr>
          <w:ilvl w:val="0"/>
          <w:numId w:val="3"/>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Extinderea stației 220/110 kV Stâlpu prin </w:t>
      </w:r>
      <w:r w:rsidR="0026232D" w:rsidRPr="007C266E">
        <w:rPr>
          <w:rFonts w:ascii="Times New Roman" w:hAnsi="Times New Roman" w:cs="Times New Roman"/>
          <w:sz w:val="23"/>
          <w:szCs w:val="23"/>
          <w:lang w:val="ro-RO"/>
        </w:rPr>
        <w:t>construirea</w:t>
      </w:r>
      <w:r w:rsidRPr="007C266E">
        <w:rPr>
          <w:rFonts w:ascii="Times New Roman" w:hAnsi="Times New Roman" w:cs="Times New Roman"/>
          <w:sz w:val="23"/>
          <w:szCs w:val="23"/>
          <w:lang w:val="ro-RO"/>
        </w:rPr>
        <w:t xml:space="preserve"> stației 400/110 kV.</w:t>
      </w:r>
    </w:p>
    <w:p w14:paraId="680D0F35" w14:textId="77777777" w:rsidR="00C43C61" w:rsidRPr="007C266E" w:rsidRDefault="00C43C61" w:rsidP="009E5804">
      <w:pPr>
        <w:spacing w:after="0" w:line="240" w:lineRule="auto"/>
        <w:jc w:val="both"/>
        <w:rPr>
          <w:rFonts w:ascii="Times New Roman" w:hAnsi="Times New Roman" w:cs="Times New Roman"/>
          <w:i/>
          <w:sz w:val="23"/>
          <w:szCs w:val="23"/>
          <w:lang w:val="ro-RO"/>
        </w:rPr>
      </w:pPr>
    </w:p>
    <w:p w14:paraId="580D5060"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Proiectul 144 „Mid Continental East Corridor”</w:t>
      </w:r>
    </w:p>
    <w:p w14:paraId="11D150D7"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616F30B" w14:textId="77777777" w:rsidR="002636DE"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Proiectul „Mid Continental East Corridor” face parte din coridorul prioritar privind energia electrică: „Interconexiuni nord-sud privind energia electrică din Europa Centrală şi din Europa de Sud-Est („NSI East Electricity”) și conduce la creșterea capacității de schimb pe granițele dintre România – Ungaria – Serbia; intensifică coridorul european nord-sud dinspre nord-estul Europei spre Sud-Estul Europei prin România, permiţând integrarea mai puternică a pieţelor şi creşterea securităţii alimentării consumului în zona de Sud-est a Europei. </w:t>
      </w:r>
    </w:p>
    <w:p w14:paraId="5976A38B" w14:textId="77777777" w:rsidR="002636DE" w:rsidRPr="007C266E" w:rsidRDefault="002636DE" w:rsidP="009E5804">
      <w:pPr>
        <w:spacing w:after="0" w:line="240" w:lineRule="auto"/>
        <w:jc w:val="both"/>
        <w:rPr>
          <w:rFonts w:ascii="Times New Roman" w:hAnsi="Times New Roman" w:cs="Times New Roman"/>
          <w:sz w:val="23"/>
          <w:szCs w:val="23"/>
          <w:lang w:val="ro-RO"/>
        </w:rPr>
      </w:pPr>
    </w:p>
    <w:p w14:paraId="376CEE54"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Componentele proiectului sunt următoarele:</w:t>
      </w:r>
    </w:p>
    <w:p w14:paraId="68FFD665" w14:textId="77777777" w:rsidR="00C43C61" w:rsidRPr="007C266E" w:rsidRDefault="00C43C61" w:rsidP="002500F7">
      <w:pPr>
        <w:pStyle w:val="ListParagraph"/>
        <w:numPr>
          <w:ilvl w:val="0"/>
          <w:numId w:val="3"/>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LEA nouă 400 kV d.c. între stațiile existente Reșița (România) și Pancevo (Serbia).</w:t>
      </w:r>
    </w:p>
    <w:p w14:paraId="39D0BE47" w14:textId="77777777" w:rsidR="00C43C61" w:rsidRPr="007C266E" w:rsidRDefault="00C43C61" w:rsidP="002500F7">
      <w:pPr>
        <w:pStyle w:val="ListParagraph"/>
        <w:numPr>
          <w:ilvl w:val="0"/>
          <w:numId w:val="3"/>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LEA nouă 400 kV s.c. stația existentă 400 kV Porțile de Fier și noua stație 400 kV Reșița.</w:t>
      </w:r>
    </w:p>
    <w:p w14:paraId="18207E9D" w14:textId="77777777" w:rsidR="00C43C61" w:rsidRPr="007C266E" w:rsidRDefault="00EF5915" w:rsidP="002500F7">
      <w:pPr>
        <w:pStyle w:val="ListParagraph"/>
        <w:numPr>
          <w:ilvl w:val="0"/>
          <w:numId w:val="3"/>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t</w:t>
      </w:r>
      <w:r w:rsidR="00C43C61" w:rsidRPr="007C266E">
        <w:rPr>
          <w:rFonts w:ascii="Times New Roman" w:hAnsi="Times New Roman" w:cs="Times New Roman"/>
          <w:sz w:val="23"/>
          <w:szCs w:val="23"/>
          <w:lang w:val="ro-RO"/>
        </w:rPr>
        <w:t>recerea la 400 kV a LEA 220 kV d.c. Reșița-Timișoara-Săcălaz-Arad</w:t>
      </w:r>
    </w:p>
    <w:p w14:paraId="31A61830" w14:textId="77777777" w:rsidR="00C43C61" w:rsidRPr="007C266E" w:rsidRDefault="00EF5915" w:rsidP="002500F7">
      <w:pPr>
        <w:pStyle w:val="ListParagraph"/>
        <w:numPr>
          <w:ilvl w:val="0"/>
          <w:numId w:val="3"/>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e</w:t>
      </w:r>
      <w:r w:rsidR="00C43C61" w:rsidRPr="007C266E">
        <w:rPr>
          <w:rFonts w:ascii="Times New Roman" w:hAnsi="Times New Roman" w:cs="Times New Roman"/>
          <w:sz w:val="23"/>
          <w:szCs w:val="23"/>
          <w:lang w:val="ro-RO"/>
        </w:rPr>
        <w:t xml:space="preserve">xtinderea stației 220/110 kV Reșița prin </w:t>
      </w:r>
      <w:r w:rsidR="0026232D" w:rsidRPr="007C266E">
        <w:rPr>
          <w:rFonts w:ascii="Times New Roman" w:hAnsi="Times New Roman" w:cs="Times New Roman"/>
          <w:sz w:val="23"/>
          <w:szCs w:val="23"/>
          <w:lang w:val="ro-RO"/>
        </w:rPr>
        <w:t>construirea</w:t>
      </w:r>
      <w:r w:rsidR="00C43C61" w:rsidRPr="007C266E">
        <w:rPr>
          <w:rFonts w:ascii="Times New Roman" w:hAnsi="Times New Roman" w:cs="Times New Roman"/>
          <w:sz w:val="23"/>
          <w:szCs w:val="23"/>
          <w:lang w:val="ro-RO"/>
        </w:rPr>
        <w:t xml:space="preserve"> stației noi 400/220/110 kV Reșița.</w:t>
      </w:r>
    </w:p>
    <w:p w14:paraId="4BFACA65" w14:textId="77777777" w:rsidR="00C43C61" w:rsidRPr="007C266E" w:rsidRDefault="00EF5915" w:rsidP="002500F7">
      <w:pPr>
        <w:pStyle w:val="ListParagraph"/>
        <w:numPr>
          <w:ilvl w:val="0"/>
          <w:numId w:val="3"/>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w:t>
      </w:r>
      <w:r w:rsidR="00C43C61" w:rsidRPr="007C266E">
        <w:rPr>
          <w:rFonts w:ascii="Times New Roman" w:hAnsi="Times New Roman" w:cs="Times New Roman"/>
          <w:sz w:val="23"/>
          <w:szCs w:val="23"/>
          <w:lang w:val="ro-RO"/>
        </w:rPr>
        <w:t xml:space="preserve">nlocuirea stației 220/110 kV Timișoara prin </w:t>
      </w:r>
      <w:r w:rsidR="0026232D" w:rsidRPr="007C266E">
        <w:rPr>
          <w:rFonts w:ascii="Times New Roman" w:hAnsi="Times New Roman" w:cs="Times New Roman"/>
          <w:sz w:val="23"/>
          <w:szCs w:val="23"/>
          <w:lang w:val="ro-RO"/>
        </w:rPr>
        <w:t>construirea</w:t>
      </w:r>
      <w:r w:rsidR="00C43C61" w:rsidRPr="007C266E">
        <w:rPr>
          <w:rFonts w:ascii="Times New Roman" w:hAnsi="Times New Roman" w:cs="Times New Roman"/>
          <w:sz w:val="23"/>
          <w:szCs w:val="23"/>
          <w:lang w:val="ro-RO"/>
        </w:rPr>
        <w:t xml:space="preserve"> stației noi 400/220/110 kV.</w:t>
      </w:r>
    </w:p>
    <w:p w14:paraId="6F33602D"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0FD963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Capacitatea reală de interconectare depinde atât de starea rețelei electrice interne și de interconexiune, cât și de starea rețelelor de transport din statele vecine.</w:t>
      </w:r>
    </w:p>
    <w:p w14:paraId="3B794740" w14:textId="77777777" w:rsidR="009A53AA" w:rsidRPr="007C266E" w:rsidRDefault="009A53AA" w:rsidP="009E5804">
      <w:pPr>
        <w:spacing w:after="0" w:line="240" w:lineRule="auto"/>
        <w:jc w:val="both"/>
        <w:rPr>
          <w:rFonts w:ascii="Times New Roman" w:hAnsi="Times New Roman" w:cs="Times New Roman"/>
          <w:sz w:val="23"/>
          <w:szCs w:val="23"/>
          <w:lang w:val="ro-RO"/>
        </w:rPr>
      </w:pPr>
    </w:p>
    <w:p w14:paraId="36AF38B8" w14:textId="77777777" w:rsidR="00C43C61" w:rsidRPr="007C266E" w:rsidRDefault="00C43C61" w:rsidP="009E5804">
      <w:pPr>
        <w:spacing w:line="240" w:lineRule="auto"/>
        <w:jc w:val="both"/>
        <w:rPr>
          <w:rFonts w:ascii="Times New Roman" w:hAnsi="Times New Roman" w:cs="Times New Roman"/>
          <w:sz w:val="23"/>
          <w:szCs w:val="23"/>
          <w:lang w:val="ro-RO"/>
        </w:rPr>
      </w:pPr>
      <w:r w:rsidRPr="007C266E">
        <w:rPr>
          <w:rFonts w:ascii="Times New Roman" w:hAnsi="Times New Roman" w:cs="Times New Roman"/>
          <w:b/>
          <w:sz w:val="23"/>
          <w:szCs w:val="23"/>
          <w:lang w:val="ro-RO"/>
        </w:rPr>
        <w:t>În prezent, România are o capacitate</w:t>
      </w:r>
      <w:r w:rsidR="005B0420" w:rsidRPr="007C266E">
        <w:rPr>
          <w:rFonts w:ascii="Times New Roman" w:hAnsi="Times New Roman" w:cs="Times New Roman"/>
          <w:b/>
          <w:sz w:val="23"/>
          <w:szCs w:val="23"/>
          <w:lang w:val="ro-RO"/>
        </w:rPr>
        <w:t xml:space="preserve"> de interconexiune de 7 %, iar </w:t>
      </w:r>
      <w:r w:rsidRPr="007C266E">
        <w:rPr>
          <w:rFonts w:ascii="Times New Roman" w:hAnsi="Times New Roman" w:cs="Times New Roman"/>
          <w:b/>
          <w:sz w:val="23"/>
          <w:szCs w:val="23"/>
          <w:lang w:val="ro-RO"/>
        </w:rPr>
        <w:t>pentru anul 2020 se estimează o creștere la peste 9 %, fiind mai aproape de obiectivul de 10 %.</w:t>
      </w:r>
      <w:r w:rsidR="00964641" w:rsidRPr="007C266E">
        <w:rPr>
          <w:rFonts w:ascii="Times New Roman" w:hAnsi="Times New Roman" w:cs="Times New Roman"/>
          <w:b/>
          <w:sz w:val="23"/>
          <w:szCs w:val="23"/>
          <w:lang w:val="ro-RO"/>
        </w:rPr>
        <w:t xml:space="preserve"> Pentru anul 2030, </w:t>
      </w:r>
      <w:r w:rsidR="00405357" w:rsidRPr="007C266E">
        <w:rPr>
          <w:rFonts w:ascii="Times New Roman" w:eastAsia="Calibri" w:hAnsi="Times New Roman" w:cs="Times New Roman"/>
          <w:color w:val="000000"/>
          <w:sz w:val="23"/>
          <w:szCs w:val="23"/>
          <w:lang w:val="ro-RO"/>
        </w:rPr>
        <w:t xml:space="preserve"> având în vedere proiectele incluse în Planul de Dezvoltare a RET 2018 – 2027 și estimările rezultate, conform </w:t>
      </w:r>
      <w:r w:rsidR="00405357" w:rsidRPr="007C266E">
        <w:rPr>
          <w:rFonts w:ascii="Times New Roman" w:hAnsi="Times New Roman" w:cs="Times New Roman"/>
          <w:b/>
          <w:sz w:val="23"/>
          <w:szCs w:val="23"/>
          <w:lang w:val="ro-RO"/>
        </w:rPr>
        <w:t xml:space="preserve">PNIESC </w:t>
      </w:r>
      <w:r w:rsidR="00405357" w:rsidRPr="007C266E">
        <w:rPr>
          <w:rFonts w:ascii="Times New Roman" w:eastAsia="Calibri" w:hAnsi="Times New Roman" w:cs="Times New Roman"/>
          <w:color w:val="000000"/>
          <w:sz w:val="23"/>
          <w:szCs w:val="23"/>
          <w:lang w:val="ro-RO"/>
        </w:rPr>
        <w:t xml:space="preserve">România va atinge un grad de interconectare de cel puțin 15,4% din capacitatea totală instalată până în anul 2030.  </w:t>
      </w:r>
    </w:p>
    <w:p w14:paraId="7B1FB5D8" w14:textId="1B322E65"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ce</w:t>
      </w:r>
      <w:r w:rsidR="00FD7B53">
        <w:rPr>
          <w:rFonts w:ascii="Times New Roman" w:hAnsi="Times New Roman" w:cs="Times New Roman"/>
          <w:sz w:val="23"/>
          <w:szCs w:val="23"/>
          <w:lang w:val="ro-RO"/>
        </w:rPr>
        <w:t>ea ce</w:t>
      </w:r>
      <w:r w:rsidRPr="007C266E">
        <w:rPr>
          <w:rFonts w:ascii="Times New Roman" w:hAnsi="Times New Roman" w:cs="Times New Roman"/>
          <w:sz w:val="23"/>
          <w:szCs w:val="23"/>
          <w:lang w:val="ro-RO"/>
        </w:rPr>
        <w:t xml:space="preserve"> priveşte atingerea obiec</w:t>
      </w:r>
      <w:r w:rsidR="002636DE" w:rsidRPr="007C266E">
        <w:rPr>
          <w:rFonts w:ascii="Times New Roman" w:hAnsi="Times New Roman" w:cs="Times New Roman"/>
          <w:sz w:val="23"/>
          <w:szCs w:val="23"/>
          <w:lang w:val="ro-RO"/>
        </w:rPr>
        <w:t>tivului de interconectare de 15</w:t>
      </w:r>
      <w:r w:rsidRPr="007C266E">
        <w:rPr>
          <w:rFonts w:ascii="Times New Roman" w:hAnsi="Times New Roman" w:cs="Times New Roman"/>
          <w:sz w:val="23"/>
          <w:szCs w:val="23"/>
          <w:lang w:val="ro-RO"/>
        </w:rPr>
        <w:t xml:space="preserve">% pentru anul 2030, se </w:t>
      </w:r>
      <w:r w:rsidR="0026232D" w:rsidRPr="007C266E">
        <w:rPr>
          <w:rFonts w:ascii="Times New Roman" w:hAnsi="Times New Roman" w:cs="Times New Roman"/>
          <w:sz w:val="23"/>
          <w:szCs w:val="23"/>
          <w:lang w:val="ro-RO"/>
        </w:rPr>
        <w:t>intenționează</w:t>
      </w:r>
      <w:r w:rsidRPr="007C266E">
        <w:rPr>
          <w:rFonts w:ascii="Times New Roman" w:hAnsi="Times New Roman" w:cs="Times New Roman"/>
          <w:sz w:val="23"/>
          <w:szCs w:val="23"/>
          <w:lang w:val="ro-RO"/>
        </w:rPr>
        <w:t xml:space="preserve"> ca acest obiectiv să fie îndeplinit în principal prin implementarea </w:t>
      </w:r>
      <w:r w:rsidR="00885485" w:rsidRPr="007C266E">
        <w:rPr>
          <w:rFonts w:ascii="Times New Roman" w:hAnsi="Times New Roman" w:cs="Times New Roman"/>
          <w:sz w:val="23"/>
          <w:szCs w:val="23"/>
          <w:lang w:val="ro-RO"/>
        </w:rPr>
        <w:t>PIC</w:t>
      </w:r>
      <w:r w:rsidRPr="007C266E">
        <w:rPr>
          <w:rFonts w:ascii="Times New Roman" w:hAnsi="Times New Roman" w:cs="Times New Roman"/>
          <w:sz w:val="23"/>
          <w:szCs w:val="23"/>
          <w:lang w:val="ro-RO"/>
        </w:rPr>
        <w:t xml:space="preserve">-urilor şi respectiv prin realizarea celorlalte proiecte de dezvoltare a rețelei electrice de transport incluse în Planul de Dezvoltare a RET perioada 2018 – 2027. </w:t>
      </w:r>
    </w:p>
    <w:p w14:paraId="0A9018DB"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551646ED"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Trebuie dezvoltate mecanisme de coordonare a planificării şi finanțării proiectelor regionale de infrastructură energetică. România trebuie să aibă o prezență activă în diplomația energetică intra-comunitară, în coordonare cu </w:t>
      </w:r>
      <w:r w:rsidRPr="007C266E">
        <w:rPr>
          <w:rFonts w:ascii="Times New Roman" w:hAnsi="Times New Roman" w:cs="Times New Roman"/>
          <w:sz w:val="23"/>
          <w:szCs w:val="23"/>
          <w:lang w:val="ro-RO"/>
        </w:rPr>
        <w:lastRenderedPageBreak/>
        <w:t xml:space="preserve">țările Europei Centrale si de Est, cu structură a sistemelor energetice asemănătoare. </w:t>
      </w:r>
    </w:p>
    <w:p w14:paraId="52ABC2DF"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25FB783" w14:textId="77777777" w:rsidR="00C42124" w:rsidRPr="007C266E" w:rsidRDefault="00C43C61" w:rsidP="009E5804">
      <w:pPr>
        <w:spacing w:after="0" w:line="240" w:lineRule="auto"/>
        <w:jc w:val="both"/>
        <w:rPr>
          <w:rFonts w:ascii="Times New Roman" w:eastAsia="Calibri" w:hAnsi="Times New Roman" w:cs="Times New Roman"/>
          <w:sz w:val="23"/>
          <w:szCs w:val="23"/>
          <w:lang w:val="ro-RO"/>
        </w:rPr>
      </w:pPr>
      <w:r w:rsidRPr="007C266E">
        <w:rPr>
          <w:rFonts w:ascii="Times New Roman" w:hAnsi="Times New Roman" w:cs="Times New Roman"/>
          <w:sz w:val="23"/>
          <w:szCs w:val="23"/>
          <w:lang w:val="ro-RO"/>
        </w:rPr>
        <w:t>În afară de interconectările cu Ungaria</w:t>
      </w:r>
      <w:r w:rsidR="002636DE"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Bulgaria și Serbia</w:t>
      </w:r>
      <w:r w:rsidR="002636DE"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România trebuie să dezvolte interconectări și cu țările vecine din afara UE (Republica Moldova,</w:t>
      </w:r>
      <w:r w:rsidR="00C42124"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 xml:space="preserve">Ucraina). </w:t>
      </w:r>
      <w:r w:rsidR="00C42124" w:rsidRPr="007C266E">
        <w:rPr>
          <w:rFonts w:ascii="Times New Roman" w:eastAsia="Calibri" w:hAnsi="Times New Roman" w:cs="Times New Roman"/>
          <w:sz w:val="23"/>
          <w:szCs w:val="23"/>
          <w:lang w:val="ro-RO"/>
        </w:rPr>
        <w:t>Proiectul de interconectare a sistemelor electroenergetice dintre Moldova și România va consta în punerea în funcțiune a unei stații back-to-back (B2B) de curent continuu de Înaltă Tensiune (HVDC) din Vulcănești pentru a permite conectarea sistemelelor energetice din România și Moldova și LEA–400kV între Vulcănești și Chișinău. Proiectul de interconectare va beneficia de o finanţare de la Banca Mondială.</w:t>
      </w:r>
    </w:p>
    <w:p w14:paraId="4D0FCF8A" w14:textId="77777777" w:rsidR="00C42124" w:rsidRPr="007C266E" w:rsidRDefault="00C42124" w:rsidP="009E5804">
      <w:pPr>
        <w:spacing w:after="0" w:line="240" w:lineRule="auto"/>
        <w:jc w:val="both"/>
        <w:rPr>
          <w:rFonts w:ascii="Times New Roman" w:eastAsia="Calibri" w:hAnsi="Times New Roman" w:cs="Times New Roman"/>
          <w:sz w:val="23"/>
          <w:szCs w:val="23"/>
          <w:lang w:val="ro-RO"/>
        </w:rPr>
      </w:pPr>
    </w:p>
    <w:p w14:paraId="7299CEC0" w14:textId="77777777" w:rsidR="00C42124" w:rsidRPr="007C266E" w:rsidRDefault="00C42124" w:rsidP="009E5804">
      <w:pPr>
        <w:spacing w:after="0" w:line="240" w:lineRule="auto"/>
        <w:jc w:val="both"/>
        <w:rPr>
          <w:rFonts w:ascii="Times New Roman" w:eastAsia="Calibri" w:hAnsi="Times New Roman" w:cs="Times New Roman"/>
          <w:sz w:val="23"/>
          <w:szCs w:val="23"/>
          <w:lang w:val="ro-RO"/>
        </w:rPr>
      </w:pPr>
      <w:r w:rsidRPr="007C266E">
        <w:rPr>
          <w:rFonts w:ascii="Times New Roman" w:eastAsia="Calibri" w:hAnsi="Times New Roman" w:cs="Times New Roman"/>
          <w:sz w:val="23"/>
          <w:szCs w:val="23"/>
          <w:lang w:val="ro-RO"/>
        </w:rPr>
        <w:t>În ceea ce privește gazele naturale, România dispune, la acest moment, de un Sistem Naţional de Transport al gazelor naturale consolidat, integrat regional în regim de flux invers/ bidirecţional, prin intermediul căruia Operatorul de Transport și de Sistem Transgaz asigură aprovizionarea cu gaze naturale în condiţii optime la nivel naţional și regional. În prezent, în ceea ce privește gradul de interconectare transfrontalieră, România este conectată cu Bulgaria (capacitate de transport de 1,5 miliarde m3/an în faza 1 a proiectului BRUA) și cu Ungaria în regim bidirecţional (capacitate de transport de 1,75 miliarde m3/an în faza 1 a proiectului BRUA și 4,4 miliarde m3/an în faza 2 a proiectului BRUA).  Proiectul BRUA va face posibilă creşterea capacităţii de transport pe direcţia România - Ungaria la o valoare de 1,75 miliarde m3/an şi asigurarea ulterioară a capacităţii maxime de 4,4 miliarde m3/an, pentru care sunt necesare dezvoltări tehnice, atât la nivelul sistemului românesc de transport, cât şi la nivelul celui din Ungaria.</w:t>
      </w:r>
    </w:p>
    <w:p w14:paraId="119D91FD" w14:textId="77777777" w:rsidR="00C42124" w:rsidRPr="007C266E" w:rsidRDefault="00C42124" w:rsidP="009E5804">
      <w:pPr>
        <w:spacing w:after="0" w:line="240" w:lineRule="auto"/>
        <w:jc w:val="both"/>
        <w:rPr>
          <w:rFonts w:ascii="Times New Roman" w:eastAsia="Calibri" w:hAnsi="Times New Roman" w:cs="Times New Roman"/>
          <w:sz w:val="23"/>
          <w:szCs w:val="23"/>
          <w:lang w:val="ro-RO"/>
        </w:rPr>
      </w:pPr>
    </w:p>
    <w:p w14:paraId="64F662A9" w14:textId="30F5FE7D" w:rsidR="00C42124" w:rsidRPr="007C266E" w:rsidRDefault="00C42124" w:rsidP="009E5804">
      <w:pPr>
        <w:spacing w:after="0" w:line="240" w:lineRule="auto"/>
        <w:jc w:val="both"/>
        <w:rPr>
          <w:rFonts w:ascii="Times New Roman" w:eastAsia="Calibri" w:hAnsi="Times New Roman" w:cs="Times New Roman"/>
          <w:sz w:val="23"/>
          <w:szCs w:val="23"/>
          <w:lang w:val="ro-RO"/>
        </w:rPr>
      </w:pPr>
      <w:r w:rsidRPr="007C266E">
        <w:rPr>
          <w:rFonts w:ascii="Times New Roman" w:eastAsia="Calibri" w:hAnsi="Times New Roman" w:cs="Times New Roman"/>
          <w:sz w:val="23"/>
          <w:szCs w:val="23"/>
          <w:lang w:val="ro-RO"/>
        </w:rPr>
        <w:t>În privinţa gazelor naturale, gradul de interconectare va crește odată cu finalizarea</w:t>
      </w:r>
      <w:r w:rsidR="0025001D" w:rsidRPr="007C266E">
        <w:rPr>
          <w:rFonts w:ascii="Times New Roman" w:eastAsia="Calibri" w:hAnsi="Times New Roman" w:cs="Times New Roman"/>
          <w:sz w:val="23"/>
          <w:szCs w:val="23"/>
          <w:lang w:val="ro-RO"/>
        </w:rPr>
        <w:t xml:space="preserve"> </w:t>
      </w:r>
      <w:r w:rsidRPr="007C266E">
        <w:rPr>
          <w:rFonts w:ascii="Times New Roman" w:eastAsia="Calibri" w:hAnsi="Times New Roman" w:cs="Times New Roman"/>
          <w:sz w:val="23"/>
          <w:szCs w:val="23"/>
          <w:lang w:val="ro-RO"/>
        </w:rPr>
        <w:t>Interconectorului cu Republica Moldova (Iași-U</w:t>
      </w:r>
      <w:r w:rsidR="00FF36B0">
        <w:rPr>
          <w:rFonts w:ascii="Times New Roman" w:eastAsia="Calibri" w:hAnsi="Times New Roman" w:cs="Times New Roman"/>
          <w:sz w:val="23"/>
          <w:szCs w:val="23"/>
          <w:lang w:val="ro-RO"/>
        </w:rPr>
        <w:t>n</w:t>
      </w:r>
      <w:r w:rsidRPr="007C266E">
        <w:rPr>
          <w:rFonts w:ascii="Times New Roman" w:eastAsia="Calibri" w:hAnsi="Times New Roman" w:cs="Times New Roman"/>
          <w:sz w:val="23"/>
          <w:szCs w:val="23"/>
          <w:lang w:val="ro-RO"/>
        </w:rPr>
        <w:t xml:space="preserve">gheni/ Ungheni-Chișinău) cu o capacitate anuală de 1,5 miliarde m3/an și prin </w:t>
      </w:r>
      <w:r w:rsidRPr="007C266E">
        <w:rPr>
          <w:rFonts w:ascii="Times New Roman" w:eastAsia="Calibri" w:hAnsi="Times New Roman" w:cs="Times New Roman"/>
          <w:sz w:val="23"/>
          <w:szCs w:val="23"/>
          <w:lang w:val="ro-RO"/>
        </w:rPr>
        <w:lastRenderedPageBreak/>
        <w:t>adăugarea, pe de altă parte, a unei viitoare interconectări cu Serbia.</w:t>
      </w:r>
    </w:p>
    <w:p w14:paraId="5B33DFBC" w14:textId="77777777" w:rsidR="002636DE" w:rsidRPr="007C266E" w:rsidRDefault="002636DE" w:rsidP="009E5804">
      <w:pPr>
        <w:spacing w:after="0" w:line="240" w:lineRule="auto"/>
        <w:jc w:val="both"/>
        <w:rPr>
          <w:rFonts w:ascii="Times New Roman" w:hAnsi="Times New Roman" w:cs="Times New Roman"/>
          <w:sz w:val="23"/>
          <w:szCs w:val="23"/>
          <w:lang w:val="ro-RO"/>
        </w:rPr>
      </w:pPr>
    </w:p>
    <w:p w14:paraId="701B102D" w14:textId="77777777" w:rsidR="00C43C61" w:rsidRPr="007C266E" w:rsidRDefault="00C43C61"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Interconectarea sistemelor de transport gaze naturale și de energie electrică ale României cu cele ale Republicii Moldova reprezintă un obiectiv strategic al g</w:t>
      </w:r>
      <w:r w:rsidR="00A07A14" w:rsidRPr="007C266E">
        <w:rPr>
          <w:rFonts w:ascii="Times New Roman" w:hAnsi="Times New Roman" w:cs="Times New Roman"/>
          <w:b/>
          <w:sz w:val="23"/>
          <w:szCs w:val="23"/>
          <w:lang w:val="ro-RO"/>
        </w:rPr>
        <w:t xml:space="preserve">uvernelor celor două țări. </w:t>
      </w:r>
    </w:p>
    <w:p w14:paraId="5948893B" w14:textId="77777777" w:rsidR="00C43C61" w:rsidRPr="007C266E" w:rsidRDefault="002636DE" w:rsidP="009E5804">
      <w:pPr>
        <w:pStyle w:val="Heading3"/>
        <w:spacing w:line="240" w:lineRule="auto"/>
        <w:rPr>
          <w:rFonts w:ascii="Times New Roman" w:hAnsi="Times New Roman" w:cs="Times New Roman"/>
          <w:sz w:val="23"/>
          <w:szCs w:val="23"/>
          <w:lang w:val="ro-RO"/>
        </w:rPr>
      </w:pPr>
      <w:bookmarkStart w:id="36" w:name="_Toc44400868"/>
      <w:r w:rsidRPr="007C266E">
        <w:rPr>
          <w:rFonts w:ascii="Times New Roman" w:hAnsi="Times New Roman" w:cs="Times New Roman"/>
          <w:sz w:val="23"/>
          <w:szCs w:val="23"/>
          <w:lang w:val="ro-RO"/>
        </w:rPr>
        <w:t>IV.3.2.</w:t>
      </w:r>
      <w:r w:rsidRPr="007C266E">
        <w:rPr>
          <w:rFonts w:ascii="Times New Roman" w:hAnsi="Times New Roman" w:cs="Times New Roman"/>
          <w:sz w:val="23"/>
          <w:szCs w:val="23"/>
          <w:lang w:val="ro-RO"/>
        </w:rPr>
        <w:tab/>
        <w:t>Geopolitica regională</w:t>
      </w:r>
      <w:bookmarkEnd w:id="36"/>
    </w:p>
    <w:p w14:paraId="4EC57213" w14:textId="77777777" w:rsidR="00750CF6" w:rsidRPr="007C266E" w:rsidRDefault="00750CF6" w:rsidP="009E5804">
      <w:pPr>
        <w:spacing w:after="0" w:line="240" w:lineRule="auto"/>
        <w:jc w:val="both"/>
        <w:rPr>
          <w:rFonts w:ascii="Times New Roman" w:hAnsi="Times New Roman" w:cs="Times New Roman"/>
          <w:sz w:val="23"/>
          <w:szCs w:val="23"/>
          <w:lang w:val="ro-RO"/>
        </w:rPr>
      </w:pPr>
    </w:p>
    <w:p w14:paraId="07B63459" w14:textId="77777777" w:rsidR="006346F3"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Ca țară de frontieră a UE, România este direct expusă creșterii tensiunilor geopolitice în Bazinul Mării Negre. </w:t>
      </w:r>
    </w:p>
    <w:p w14:paraId="7402EDF4" w14:textId="77777777" w:rsidR="006346F3" w:rsidRPr="007C266E" w:rsidRDefault="006346F3" w:rsidP="009E5804">
      <w:pPr>
        <w:spacing w:after="0" w:line="240" w:lineRule="auto"/>
        <w:jc w:val="both"/>
        <w:rPr>
          <w:rFonts w:ascii="Times New Roman" w:hAnsi="Times New Roman" w:cs="Times New Roman"/>
          <w:sz w:val="23"/>
          <w:szCs w:val="23"/>
          <w:lang w:val="ro-RO"/>
        </w:rPr>
      </w:pPr>
    </w:p>
    <w:p w14:paraId="2F6FAF9D" w14:textId="77777777" w:rsidR="006346F3" w:rsidRPr="007C266E" w:rsidRDefault="00C43C61"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În același timp, România se poate evidenția ca furnizor regional de securitate energetică</w:t>
      </w:r>
      <w:r w:rsidR="008D6039" w:rsidRPr="007C266E">
        <w:rPr>
          <w:rFonts w:ascii="Times New Roman" w:hAnsi="Times New Roman" w:cs="Times New Roman"/>
          <w:b/>
          <w:sz w:val="23"/>
          <w:szCs w:val="23"/>
          <w:lang w:val="ro-RO"/>
        </w:rPr>
        <w:t>, în măsura în care investițiile strategice incluse în Planul Național Integrat Energie Schimbări Climatice vor fi realizate conform planificării</w:t>
      </w:r>
      <w:r w:rsidRPr="007C266E">
        <w:rPr>
          <w:rFonts w:ascii="Times New Roman" w:hAnsi="Times New Roman" w:cs="Times New Roman"/>
          <w:b/>
          <w:sz w:val="23"/>
          <w:szCs w:val="23"/>
          <w:lang w:val="ro-RO"/>
        </w:rPr>
        <w:t xml:space="preserve">. </w:t>
      </w:r>
    </w:p>
    <w:p w14:paraId="6AB0EB2E" w14:textId="77777777" w:rsidR="006346F3" w:rsidRPr="007C266E" w:rsidRDefault="006346F3" w:rsidP="009E5804">
      <w:pPr>
        <w:spacing w:after="0" w:line="240" w:lineRule="auto"/>
        <w:jc w:val="both"/>
        <w:rPr>
          <w:rFonts w:ascii="Times New Roman" w:hAnsi="Times New Roman" w:cs="Times New Roman"/>
          <w:sz w:val="23"/>
          <w:szCs w:val="23"/>
          <w:lang w:val="ro-RO"/>
        </w:rPr>
      </w:pPr>
    </w:p>
    <w:p w14:paraId="203B390D" w14:textId="6729D7F8"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Fluxul de gaze naturale dinspre România ar ajuta țări ca Republica Moldova și Bulgaria să-şi reducă dependența excesivă de o sursă unică, iar producătorii din România ar primi un impuls de a investi în prelungirea duratei de viață a zăcămintelor existente și în</w:t>
      </w:r>
      <w:r w:rsidR="00FD5500">
        <w:rPr>
          <w:rFonts w:ascii="Times New Roman" w:hAnsi="Times New Roman" w:cs="Times New Roman"/>
          <w:sz w:val="23"/>
          <w:szCs w:val="23"/>
          <w:lang w:val="ro-RO"/>
        </w:rPr>
        <w:t xml:space="preserve"> descoperirea și</w:t>
      </w:r>
      <w:r w:rsidRPr="007C266E">
        <w:rPr>
          <w:rFonts w:ascii="Times New Roman" w:hAnsi="Times New Roman" w:cs="Times New Roman"/>
          <w:sz w:val="23"/>
          <w:szCs w:val="23"/>
          <w:lang w:val="ro-RO"/>
        </w:rPr>
        <w:t xml:space="preserve"> dezvoltarea de noi zăcăminte. </w:t>
      </w:r>
    </w:p>
    <w:p w14:paraId="1B086C6F"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D34A775"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Prin modernizarea capacităților de înmagazinare de gaz</w:t>
      </w:r>
      <w:r w:rsidR="00EF5915"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natural</w:t>
      </w:r>
      <w:r w:rsidR="00EF5915"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și prin sisteme de echilibrare și de rezervă pentru energia electrică, România poate aduce o contribuție importantă și profitabilă la piața regională a ser</w:t>
      </w:r>
      <w:r w:rsidR="00A56A1A" w:rsidRPr="007C266E">
        <w:rPr>
          <w:rFonts w:ascii="Times New Roman" w:hAnsi="Times New Roman" w:cs="Times New Roman"/>
          <w:sz w:val="23"/>
          <w:szCs w:val="23"/>
          <w:lang w:val="ro-RO"/>
        </w:rPr>
        <w:t>viciilor tehnologice de sistem.</w:t>
      </w:r>
    </w:p>
    <w:p w14:paraId="5808F1C5" w14:textId="77777777" w:rsidR="00C43C61" w:rsidRPr="007C266E" w:rsidRDefault="00C43C61" w:rsidP="009E5804">
      <w:pPr>
        <w:pStyle w:val="Heading2"/>
        <w:spacing w:line="240" w:lineRule="auto"/>
        <w:rPr>
          <w:rFonts w:ascii="Times New Roman" w:hAnsi="Times New Roman" w:cs="Times New Roman"/>
          <w:sz w:val="23"/>
          <w:szCs w:val="23"/>
          <w:lang w:val="ro-RO"/>
        </w:rPr>
      </w:pPr>
      <w:bookmarkStart w:id="37" w:name="_Toc44400869"/>
      <w:r w:rsidRPr="007C266E">
        <w:rPr>
          <w:rFonts w:ascii="Times New Roman" w:hAnsi="Times New Roman" w:cs="Times New Roman"/>
          <w:sz w:val="23"/>
          <w:szCs w:val="23"/>
          <w:lang w:val="ro-RO"/>
        </w:rPr>
        <w:t>IV.4.</w:t>
      </w:r>
      <w:r w:rsidRPr="007C266E">
        <w:rPr>
          <w:rFonts w:ascii="Times New Roman" w:hAnsi="Times New Roman" w:cs="Times New Roman"/>
          <w:sz w:val="23"/>
          <w:szCs w:val="23"/>
          <w:lang w:val="ro-RO"/>
        </w:rPr>
        <w:tab/>
        <w:t>Sistemul energetic național: starea actuală</w:t>
      </w:r>
      <w:bookmarkEnd w:id="37"/>
    </w:p>
    <w:p w14:paraId="6A2FEA3B" w14:textId="77777777" w:rsidR="000E7A5B" w:rsidRPr="007C266E" w:rsidRDefault="000E7A5B" w:rsidP="004B4A53">
      <w:pPr>
        <w:spacing w:after="0"/>
        <w:rPr>
          <w:rFonts w:ascii="Times New Roman" w:hAnsi="Times New Roman" w:cs="Times New Roman"/>
          <w:sz w:val="23"/>
          <w:szCs w:val="23"/>
          <w:lang w:val="ro-RO"/>
        </w:rPr>
      </w:pPr>
    </w:p>
    <w:p w14:paraId="4B39C734" w14:textId="77777777" w:rsidR="00A07A14" w:rsidRPr="007C266E" w:rsidRDefault="00C43C61" w:rsidP="009E5804">
      <w:pPr>
        <w:pStyle w:val="Heading3"/>
        <w:spacing w:before="0" w:line="240" w:lineRule="auto"/>
        <w:rPr>
          <w:rFonts w:ascii="Times New Roman" w:hAnsi="Times New Roman" w:cs="Times New Roman"/>
          <w:sz w:val="23"/>
          <w:szCs w:val="23"/>
          <w:lang w:val="ro-RO"/>
        </w:rPr>
      </w:pPr>
      <w:bookmarkStart w:id="38" w:name="_Toc44400870"/>
      <w:r w:rsidRPr="007C266E">
        <w:rPr>
          <w:rFonts w:ascii="Times New Roman" w:hAnsi="Times New Roman" w:cs="Times New Roman"/>
          <w:sz w:val="23"/>
          <w:szCs w:val="23"/>
          <w:lang w:val="ro-RO"/>
        </w:rPr>
        <w:t>IV.4.1.</w:t>
      </w:r>
      <w:r w:rsidRPr="007C266E">
        <w:rPr>
          <w:rFonts w:ascii="Times New Roman" w:hAnsi="Times New Roman" w:cs="Times New Roman"/>
          <w:sz w:val="23"/>
          <w:szCs w:val="23"/>
          <w:lang w:val="ro-RO"/>
        </w:rPr>
        <w:tab/>
        <w:t>Re</w:t>
      </w:r>
      <w:r w:rsidR="006346F3" w:rsidRPr="007C266E">
        <w:rPr>
          <w:rFonts w:ascii="Times New Roman" w:hAnsi="Times New Roman" w:cs="Times New Roman"/>
          <w:sz w:val="23"/>
          <w:szCs w:val="23"/>
          <w:lang w:val="ro-RO"/>
        </w:rPr>
        <w:t>sursele energetice primare</w:t>
      </w:r>
      <w:bookmarkEnd w:id="38"/>
    </w:p>
    <w:p w14:paraId="029BF3B4" w14:textId="77777777" w:rsidR="00A56A1A" w:rsidRPr="007C266E" w:rsidRDefault="00A56A1A" w:rsidP="009E5804">
      <w:pPr>
        <w:spacing w:after="0" w:line="240" w:lineRule="auto"/>
        <w:rPr>
          <w:rFonts w:ascii="Times New Roman" w:hAnsi="Times New Roman" w:cs="Times New Roman"/>
          <w:sz w:val="23"/>
          <w:szCs w:val="23"/>
          <w:lang w:val="ro-RO"/>
        </w:rPr>
      </w:pPr>
    </w:p>
    <w:p w14:paraId="33E103C1" w14:textId="74E959DD" w:rsidR="006346F3" w:rsidRPr="007C266E" w:rsidRDefault="00C43C61"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România are un mix energ</w:t>
      </w:r>
      <w:r w:rsidR="00035B45" w:rsidRPr="007C266E">
        <w:rPr>
          <w:rFonts w:ascii="Times New Roman" w:hAnsi="Times New Roman" w:cs="Times New Roman"/>
          <w:b/>
          <w:sz w:val="23"/>
          <w:szCs w:val="23"/>
          <w:lang w:val="ro-RO"/>
        </w:rPr>
        <w:t>etic echilibrat și diversificat</w:t>
      </w:r>
      <w:r w:rsidRPr="007C266E">
        <w:rPr>
          <w:rFonts w:ascii="Times New Roman" w:hAnsi="Times New Roman" w:cs="Times New Roman"/>
          <w:b/>
          <w:sz w:val="23"/>
          <w:szCs w:val="23"/>
          <w:lang w:val="ro-RO"/>
        </w:rPr>
        <w:t xml:space="preserve"> </w:t>
      </w:r>
    </w:p>
    <w:p w14:paraId="5A59C1E7" w14:textId="77777777" w:rsidR="006346F3" w:rsidRPr="007C266E" w:rsidRDefault="006346F3" w:rsidP="009E5804">
      <w:pPr>
        <w:spacing w:after="0" w:line="240" w:lineRule="auto"/>
        <w:jc w:val="both"/>
        <w:rPr>
          <w:rFonts w:ascii="Times New Roman" w:hAnsi="Times New Roman" w:cs="Times New Roman"/>
          <w:sz w:val="23"/>
          <w:szCs w:val="23"/>
          <w:lang w:val="ro-RO"/>
        </w:rPr>
      </w:pPr>
    </w:p>
    <w:p w14:paraId="4070B401" w14:textId="77777777" w:rsidR="006346F3" w:rsidRPr="007C266E" w:rsidRDefault="00AB2EB9"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Principalele resurse</w:t>
      </w:r>
      <w:r w:rsidR="00C43C61" w:rsidRPr="007C266E">
        <w:rPr>
          <w:rFonts w:ascii="Times New Roman" w:hAnsi="Times New Roman" w:cs="Times New Roman"/>
          <w:sz w:val="23"/>
          <w:szCs w:val="23"/>
          <w:lang w:val="ro-RO"/>
        </w:rPr>
        <w:t xml:space="preserve"> de energie primară au fost, în anul 2017, 34.291,4</w:t>
      </w:r>
      <w:r w:rsidR="00750CF6" w:rsidRPr="007C266E">
        <w:rPr>
          <w:rFonts w:ascii="Times New Roman" w:hAnsi="Times New Roman" w:cs="Times New Roman"/>
          <w:sz w:val="23"/>
          <w:szCs w:val="23"/>
          <w:lang w:val="ro-RO"/>
        </w:rPr>
        <w:t>*</w:t>
      </w:r>
      <w:r w:rsidR="00C43C61" w:rsidRPr="007C266E">
        <w:rPr>
          <w:rFonts w:ascii="Times New Roman" w:hAnsi="Times New Roman" w:cs="Times New Roman"/>
          <w:sz w:val="23"/>
          <w:szCs w:val="23"/>
          <w:lang w:val="ro-RO"/>
        </w:rPr>
        <w:t xml:space="preserve"> mii tep, din care 21.303,5 mii tep din producție internă și </w:t>
      </w:r>
      <w:r w:rsidR="00C43C61" w:rsidRPr="007C266E">
        <w:rPr>
          <w:rFonts w:ascii="Times New Roman" w:hAnsi="Times New Roman" w:cs="Times New Roman"/>
          <w:sz w:val="23"/>
          <w:szCs w:val="23"/>
          <w:lang w:val="ro-RO"/>
        </w:rPr>
        <w:lastRenderedPageBreak/>
        <w:t xml:space="preserve">12.987,9 mii tep din import, având următoarea </w:t>
      </w:r>
      <w:r w:rsidR="006346F3" w:rsidRPr="007C266E">
        <w:rPr>
          <w:rFonts w:ascii="Times New Roman" w:hAnsi="Times New Roman" w:cs="Times New Roman"/>
          <w:sz w:val="23"/>
          <w:szCs w:val="23"/>
          <w:lang w:val="ro-RO"/>
        </w:rPr>
        <w:t>structură:</w:t>
      </w:r>
    </w:p>
    <w:p w14:paraId="3EB65238" w14:textId="77777777" w:rsidR="006346F3" w:rsidRPr="007C266E" w:rsidRDefault="00C43C61" w:rsidP="002500F7">
      <w:pPr>
        <w:pStyle w:val="ListParagraph"/>
        <w:numPr>
          <w:ilvl w:val="0"/>
          <w:numId w:val="4"/>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cărbune: 5.164,7 mii tep (4.654,6 producție internă și 510,1 import) – 15% din mix</w:t>
      </w:r>
      <w:r w:rsidR="006346F3" w:rsidRPr="007C266E">
        <w:rPr>
          <w:rFonts w:ascii="Times New Roman" w:hAnsi="Times New Roman" w:cs="Times New Roman"/>
          <w:sz w:val="23"/>
          <w:szCs w:val="23"/>
          <w:lang w:val="ro-RO"/>
        </w:rPr>
        <w:t>;</w:t>
      </w:r>
    </w:p>
    <w:p w14:paraId="737D0F99" w14:textId="77777777" w:rsidR="006346F3" w:rsidRPr="007C266E" w:rsidRDefault="00C43C61" w:rsidP="002500F7">
      <w:pPr>
        <w:pStyle w:val="ListParagraph"/>
        <w:numPr>
          <w:ilvl w:val="0"/>
          <w:numId w:val="4"/>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țiței: 11.175,9 mii tep (3.421,7 producție internă și 7.754,2 import) – 32,6% din mix</w:t>
      </w:r>
      <w:r w:rsidR="006346F3" w:rsidRPr="007C266E">
        <w:rPr>
          <w:rFonts w:ascii="Times New Roman" w:hAnsi="Times New Roman" w:cs="Times New Roman"/>
          <w:sz w:val="23"/>
          <w:szCs w:val="23"/>
          <w:lang w:val="ro-RO"/>
        </w:rPr>
        <w:t>;</w:t>
      </w:r>
    </w:p>
    <w:p w14:paraId="1FCC57F2" w14:textId="77777777" w:rsidR="006346F3" w:rsidRPr="007C266E" w:rsidRDefault="00C43C61" w:rsidP="002500F7">
      <w:pPr>
        <w:pStyle w:val="ListParagraph"/>
        <w:numPr>
          <w:ilvl w:val="0"/>
          <w:numId w:val="4"/>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gaze naturale: 9.282,1 mii tep (8.337,7 producție internă și 944,4 import) – 27% din mix</w:t>
      </w:r>
      <w:r w:rsidR="006346F3" w:rsidRPr="007C266E">
        <w:rPr>
          <w:rFonts w:ascii="Times New Roman" w:hAnsi="Times New Roman" w:cs="Times New Roman"/>
          <w:sz w:val="23"/>
          <w:szCs w:val="23"/>
          <w:lang w:val="ro-RO"/>
        </w:rPr>
        <w:t>;</w:t>
      </w:r>
    </w:p>
    <w:p w14:paraId="7D56A006" w14:textId="77777777" w:rsidR="006346F3" w:rsidRPr="007C266E" w:rsidRDefault="00C43C61" w:rsidP="002500F7">
      <w:pPr>
        <w:pStyle w:val="ListParagraph"/>
        <w:numPr>
          <w:ilvl w:val="0"/>
          <w:numId w:val="4"/>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energie hidroelectrică, energie nuclearo-electrică, solară şi energie electrică din import: 5.203,8 mii tep (4.889,5 producție internă și 314,3 import) – 15,2% din mix</w:t>
      </w:r>
      <w:r w:rsidR="006346F3" w:rsidRPr="007C266E">
        <w:rPr>
          <w:rFonts w:ascii="Times New Roman" w:hAnsi="Times New Roman" w:cs="Times New Roman"/>
          <w:sz w:val="23"/>
          <w:szCs w:val="23"/>
          <w:lang w:val="ro-RO"/>
        </w:rPr>
        <w:t>;</w:t>
      </w:r>
    </w:p>
    <w:p w14:paraId="7F460076" w14:textId="77777777" w:rsidR="00AB2EB9" w:rsidRPr="007C266E" w:rsidRDefault="00C43C61" w:rsidP="002500F7">
      <w:pPr>
        <w:pStyle w:val="ListParagraph"/>
        <w:numPr>
          <w:ilvl w:val="0"/>
          <w:numId w:val="4"/>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produse petroliere din import: 2.985,8 mii tep– 8,7% din mix</w:t>
      </w:r>
      <w:r w:rsidR="006346F3" w:rsidRPr="007C266E">
        <w:rPr>
          <w:rFonts w:ascii="Times New Roman" w:hAnsi="Times New Roman" w:cs="Times New Roman"/>
          <w:sz w:val="23"/>
          <w:szCs w:val="23"/>
          <w:lang w:val="ro-RO"/>
        </w:rPr>
        <w:t>.</w:t>
      </w:r>
    </w:p>
    <w:p w14:paraId="3B8C997E" w14:textId="77777777" w:rsidR="00EF5915" w:rsidRDefault="00AB2EB9" w:rsidP="009E5804">
      <w:pPr>
        <w:spacing w:after="0" w:line="240" w:lineRule="auto"/>
        <w:jc w:val="right"/>
        <w:rPr>
          <w:rFonts w:ascii="Times New Roman" w:hAnsi="Times New Roman" w:cs="Times New Roman"/>
          <w:b/>
          <w:i/>
          <w:sz w:val="23"/>
          <w:szCs w:val="23"/>
          <w:lang w:val="ro-RO"/>
        </w:rPr>
      </w:pPr>
      <w:r w:rsidRPr="007C266E">
        <w:rPr>
          <w:rFonts w:ascii="Times New Roman" w:hAnsi="Times New Roman" w:cs="Times New Roman"/>
          <w:b/>
          <w:i/>
          <w:sz w:val="23"/>
          <w:szCs w:val="23"/>
          <w:lang w:val="ro-RO"/>
        </w:rPr>
        <w:t xml:space="preserve">*Sursa </w:t>
      </w:r>
      <w:r w:rsidR="00AF5346" w:rsidRPr="007C266E">
        <w:rPr>
          <w:rFonts w:ascii="Times New Roman" w:hAnsi="Times New Roman" w:cs="Times New Roman"/>
          <w:b/>
          <w:i/>
          <w:sz w:val="23"/>
          <w:szCs w:val="23"/>
          <w:lang w:val="ro-RO"/>
        </w:rPr>
        <w:t>Institutul</w:t>
      </w:r>
      <w:r w:rsidRPr="007C266E">
        <w:rPr>
          <w:rFonts w:ascii="Times New Roman" w:hAnsi="Times New Roman" w:cs="Times New Roman"/>
          <w:b/>
          <w:i/>
          <w:sz w:val="23"/>
          <w:szCs w:val="23"/>
          <w:lang w:val="ro-RO"/>
        </w:rPr>
        <w:t xml:space="preserve"> Național de Statistică</w:t>
      </w:r>
    </w:p>
    <w:p w14:paraId="487F7DF7" w14:textId="77777777" w:rsidR="00E47896" w:rsidRPr="007C266E" w:rsidRDefault="00E47896" w:rsidP="009E5804">
      <w:pPr>
        <w:spacing w:after="0" w:line="240" w:lineRule="auto"/>
        <w:jc w:val="right"/>
        <w:rPr>
          <w:rFonts w:ascii="Times New Roman" w:hAnsi="Times New Roman" w:cs="Times New Roman"/>
          <w:b/>
          <w:i/>
          <w:sz w:val="23"/>
          <w:szCs w:val="23"/>
          <w:lang w:val="ro-RO"/>
        </w:rPr>
      </w:pPr>
    </w:p>
    <w:p w14:paraId="1BE93C89" w14:textId="77777777" w:rsidR="00A07A14" w:rsidRPr="007C266E" w:rsidRDefault="00A07A14" w:rsidP="009E5804">
      <w:pPr>
        <w:spacing w:after="0" w:line="240" w:lineRule="auto"/>
        <w:jc w:val="both"/>
        <w:rPr>
          <w:rFonts w:ascii="Times New Roman" w:hAnsi="Times New Roman" w:cs="Times New Roman"/>
          <w:i/>
          <w:sz w:val="23"/>
          <w:szCs w:val="23"/>
          <w:lang w:val="ro-RO"/>
        </w:rPr>
      </w:pPr>
    </w:p>
    <w:p w14:paraId="5E10551B" w14:textId="77777777" w:rsidR="00E47896" w:rsidRDefault="00E47896" w:rsidP="009E5804">
      <w:pPr>
        <w:spacing w:after="0" w:line="240" w:lineRule="auto"/>
        <w:jc w:val="both"/>
        <w:rPr>
          <w:rFonts w:ascii="Times New Roman" w:hAnsi="Times New Roman" w:cs="Times New Roman"/>
          <w:i/>
          <w:sz w:val="23"/>
          <w:szCs w:val="23"/>
          <w:lang w:val="ro-RO"/>
        </w:rPr>
      </w:pPr>
    </w:p>
    <w:p w14:paraId="02398054" w14:textId="77777777" w:rsidR="00C43C61" w:rsidRPr="007C266E" w:rsidRDefault="0026232D"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Țiței</w:t>
      </w:r>
      <w:r w:rsidR="00C43C61" w:rsidRPr="007C266E">
        <w:rPr>
          <w:rFonts w:ascii="Times New Roman" w:hAnsi="Times New Roman" w:cs="Times New Roman"/>
          <w:i/>
          <w:sz w:val="23"/>
          <w:szCs w:val="23"/>
          <w:lang w:val="ro-RO"/>
        </w:rPr>
        <w:t xml:space="preserve"> și gaze naturale</w:t>
      </w:r>
    </w:p>
    <w:p w14:paraId="72FCD2FB" w14:textId="77777777" w:rsidR="006346F3" w:rsidRPr="007C266E" w:rsidRDefault="006346F3" w:rsidP="009E5804">
      <w:pPr>
        <w:spacing w:after="0" w:line="240" w:lineRule="auto"/>
        <w:jc w:val="both"/>
        <w:rPr>
          <w:rFonts w:ascii="Times New Roman" w:hAnsi="Times New Roman" w:cs="Times New Roman"/>
          <w:sz w:val="23"/>
          <w:szCs w:val="23"/>
          <w:lang w:val="ro-RO"/>
        </w:rPr>
      </w:pPr>
    </w:p>
    <w:p w14:paraId="6836D76D"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prezent, în România, se exploatează cca. 400 de zăcăminte de țiței și gaze naturale, din care:</w:t>
      </w:r>
    </w:p>
    <w:p w14:paraId="1AF36543" w14:textId="77777777" w:rsidR="00C43C61" w:rsidRPr="007C266E" w:rsidRDefault="00C43C61" w:rsidP="002500F7">
      <w:pPr>
        <w:pStyle w:val="ListParagraph"/>
        <w:numPr>
          <w:ilvl w:val="0"/>
          <w:numId w:val="4"/>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OMV Petrom operează mai mult de 200 de zăcăminte comerciale de ţiţei și gaze naturale în România. În Marea Neagră, OMV Petrom operează </w:t>
      </w:r>
      <w:r w:rsidR="00EF5915" w:rsidRPr="007C266E">
        <w:rPr>
          <w:rFonts w:ascii="Times New Roman" w:hAnsi="Times New Roman" w:cs="Times New Roman"/>
          <w:sz w:val="23"/>
          <w:szCs w:val="23"/>
          <w:lang w:val="ro-RO"/>
        </w:rPr>
        <w:t xml:space="preserve">pe </w:t>
      </w:r>
      <w:r w:rsidR="00527E96" w:rsidRPr="007C266E">
        <w:rPr>
          <w:rFonts w:ascii="Times New Roman" w:hAnsi="Times New Roman" w:cs="Times New Roman"/>
          <w:sz w:val="23"/>
          <w:szCs w:val="23"/>
          <w:lang w:val="ro-RO"/>
        </w:rPr>
        <w:t xml:space="preserve">șapte </w:t>
      </w:r>
      <w:r w:rsidRPr="007C266E">
        <w:rPr>
          <w:rFonts w:ascii="Times New Roman" w:hAnsi="Times New Roman" w:cs="Times New Roman"/>
          <w:sz w:val="23"/>
          <w:szCs w:val="23"/>
          <w:lang w:val="ro-RO"/>
        </w:rPr>
        <w:t>platforme fixe</w:t>
      </w:r>
      <w:r w:rsidR="00EF5915" w:rsidRPr="007C266E">
        <w:rPr>
          <w:rFonts w:ascii="Times New Roman" w:hAnsi="Times New Roman" w:cs="Times New Roman"/>
          <w:sz w:val="23"/>
          <w:szCs w:val="23"/>
          <w:lang w:val="ro-RO"/>
        </w:rPr>
        <w:t>;</w:t>
      </w:r>
    </w:p>
    <w:p w14:paraId="06808E11" w14:textId="77777777" w:rsidR="006346F3" w:rsidRPr="007C266E" w:rsidRDefault="00C43C61" w:rsidP="002500F7">
      <w:pPr>
        <w:pStyle w:val="ListParagraph"/>
        <w:numPr>
          <w:ilvl w:val="0"/>
          <w:numId w:val="4"/>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Romgaz îşi desfăşoară activitatea, ca unic titular de acord petroli</w:t>
      </w:r>
      <w:r w:rsidR="00D26E2A" w:rsidRPr="007C266E">
        <w:rPr>
          <w:rFonts w:ascii="Times New Roman" w:hAnsi="Times New Roman" w:cs="Times New Roman"/>
          <w:sz w:val="23"/>
          <w:szCs w:val="23"/>
          <w:lang w:val="ro-RO"/>
        </w:rPr>
        <w:t>er, pe 8 perimetre de explorare, d</w:t>
      </w:r>
      <w:r w:rsidRPr="007C266E">
        <w:rPr>
          <w:rFonts w:ascii="Times New Roman" w:hAnsi="Times New Roman" w:cs="Times New Roman"/>
          <w:sz w:val="23"/>
          <w:szCs w:val="23"/>
          <w:lang w:val="ro-RO"/>
        </w:rPr>
        <w:t>ezvoltare</w:t>
      </w:r>
      <w:r w:rsidR="00D26E2A" w:rsidRPr="007C266E">
        <w:rPr>
          <w:rFonts w:ascii="Times New Roman" w:hAnsi="Times New Roman" w:cs="Times New Roman"/>
          <w:sz w:val="23"/>
          <w:szCs w:val="23"/>
          <w:lang w:val="ro-RO"/>
        </w:rPr>
        <w:t>, e</w:t>
      </w:r>
      <w:r w:rsidRPr="007C266E">
        <w:rPr>
          <w:rFonts w:ascii="Times New Roman" w:hAnsi="Times New Roman" w:cs="Times New Roman"/>
          <w:sz w:val="23"/>
          <w:szCs w:val="23"/>
          <w:lang w:val="ro-RO"/>
        </w:rPr>
        <w:t>xploatare</w:t>
      </w:r>
      <w:r w:rsidR="00D26E2A" w:rsidRPr="007C266E">
        <w:rPr>
          <w:rFonts w:ascii="Times New Roman" w:hAnsi="Times New Roman" w:cs="Times New Roman"/>
          <w:sz w:val="23"/>
          <w:szCs w:val="23"/>
          <w:lang w:val="ro-RO"/>
        </w:rPr>
        <w:t>.</w:t>
      </w:r>
    </w:p>
    <w:p w14:paraId="0CD6C3AC" w14:textId="77777777" w:rsidR="006346F3" w:rsidRPr="007C266E" w:rsidRDefault="006346F3" w:rsidP="009E5804">
      <w:pPr>
        <w:spacing w:after="0" w:line="240" w:lineRule="auto"/>
        <w:jc w:val="both"/>
        <w:rPr>
          <w:rFonts w:ascii="Times New Roman" w:hAnsi="Times New Roman" w:cs="Times New Roman"/>
          <w:sz w:val="23"/>
          <w:szCs w:val="23"/>
          <w:lang w:val="ro-RO"/>
        </w:rPr>
      </w:pPr>
    </w:p>
    <w:p w14:paraId="261D5861" w14:textId="77777777" w:rsidR="006346F3"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Pentru </w:t>
      </w:r>
      <w:r w:rsidR="006346F3"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lte 39 de zăcăminte au fost încheiate acorduri petroliere de dezvoltare-exploatare și exploatare petrolieră, având ca titulari diverse companii.</w:t>
      </w:r>
      <w:r w:rsidR="00824690"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Majoritatea acestor zăcăminte sunt mature, având o durată de exploatare de peste 25-30 ani.</w:t>
      </w:r>
    </w:p>
    <w:p w14:paraId="4ED4523C" w14:textId="77777777" w:rsidR="00C43C61" w:rsidRPr="007C266E" w:rsidRDefault="00C43C61" w:rsidP="004B4A53">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4263AF33" w14:textId="77777777" w:rsidR="00C43C61" w:rsidRPr="007C266E" w:rsidRDefault="00C43C61" w:rsidP="006E1D2D">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Pe termen scurt şi mediu, rezervele sigure de ţiţei şi gaze naturale se pot majora prin implementarea de noi tehnologii care să conducă la creşterea gradului de recuperare în </w:t>
      </w:r>
      <w:r w:rsidRPr="007C266E">
        <w:rPr>
          <w:rFonts w:ascii="Times New Roman" w:hAnsi="Times New Roman" w:cs="Times New Roman"/>
          <w:sz w:val="23"/>
          <w:szCs w:val="23"/>
          <w:lang w:val="ro-RO"/>
        </w:rPr>
        <w:lastRenderedPageBreak/>
        <w:t>zăcăminte şi prin implementarea proiectelor pentru explorarea de adâncime şi a zonelor offshore din platforma continentală a Mării Negre.</w:t>
      </w:r>
    </w:p>
    <w:p w14:paraId="0545047C" w14:textId="77777777" w:rsidR="00C43C61" w:rsidRPr="007C266E" w:rsidRDefault="00C43C61" w:rsidP="0038022C">
      <w:pPr>
        <w:spacing w:after="0" w:line="240" w:lineRule="auto"/>
        <w:jc w:val="both"/>
        <w:rPr>
          <w:rFonts w:ascii="Times New Roman" w:hAnsi="Times New Roman" w:cs="Times New Roman"/>
          <w:sz w:val="23"/>
          <w:szCs w:val="23"/>
          <w:lang w:val="ro-RO"/>
        </w:rPr>
      </w:pPr>
    </w:p>
    <w:p w14:paraId="43C9AB10" w14:textId="77777777" w:rsidR="00C43C61" w:rsidRPr="007C266E" w:rsidRDefault="00C43C61" w:rsidP="00A86877">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Ț</w:t>
      </w:r>
      <w:r w:rsidR="00824690" w:rsidRPr="007C266E">
        <w:rPr>
          <w:rFonts w:ascii="Times New Roman" w:hAnsi="Times New Roman" w:cs="Times New Roman"/>
          <w:b/>
          <w:sz w:val="23"/>
          <w:szCs w:val="23"/>
          <w:lang w:val="ro-RO"/>
        </w:rPr>
        <w:t>iței</w:t>
      </w:r>
    </w:p>
    <w:p w14:paraId="2AB4707C" w14:textId="77777777" w:rsidR="00C43C61" w:rsidRPr="007C266E" w:rsidRDefault="00C43C61" w:rsidP="00A86877">
      <w:pPr>
        <w:spacing w:after="0" w:line="240" w:lineRule="auto"/>
        <w:jc w:val="both"/>
        <w:rPr>
          <w:rFonts w:ascii="Times New Roman" w:hAnsi="Times New Roman" w:cs="Times New Roman"/>
          <w:sz w:val="23"/>
          <w:szCs w:val="23"/>
          <w:lang w:val="ro-RO"/>
        </w:rPr>
      </w:pPr>
    </w:p>
    <w:p w14:paraId="674C1F8F" w14:textId="77777777" w:rsidR="00C43C61" w:rsidRPr="007C266E" w:rsidRDefault="00C43C61"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2017, producția internă de țiței a acoperit aproape 32% din cerere. Declinul producției medii anuale a fost de 2% în ultimii cinci ani, fiind limitat prin investiții în forarea unor noi sonde, repuneri în producție, recuperare secundară etc. Rezervele dovedite de țiței ale României se vor epuiza în circa 16 ani la un consum d</w:t>
      </w:r>
      <w:r w:rsidR="00824690" w:rsidRPr="007C266E">
        <w:rPr>
          <w:rFonts w:ascii="Times New Roman" w:hAnsi="Times New Roman" w:cs="Times New Roman"/>
          <w:sz w:val="23"/>
          <w:szCs w:val="23"/>
          <w:lang w:val="ro-RO"/>
        </w:rPr>
        <w:t xml:space="preserve">e 3,4 milioane t/an. </w:t>
      </w:r>
    </w:p>
    <w:p w14:paraId="6E639AF8"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E3D1D1E"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G</w:t>
      </w:r>
      <w:r w:rsidR="00824690" w:rsidRPr="007C266E">
        <w:rPr>
          <w:rFonts w:ascii="Times New Roman" w:hAnsi="Times New Roman" w:cs="Times New Roman"/>
          <w:b/>
          <w:sz w:val="23"/>
          <w:szCs w:val="23"/>
          <w:lang w:val="ro-RO"/>
        </w:rPr>
        <w:t>aze naturale</w:t>
      </w:r>
    </w:p>
    <w:p w14:paraId="09930003"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67742D28"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Gazele naturale au o pondere de aproximativ 30% din consumul intern de energie primară. Cota lor importantă se explică prin disponibilitatea relativ ridicată a resurselor autohtone, prin impactul redus asupra mediului înconjurător și prin capacitatea de a echilibra energia electrică produsă din SRE intermitente. Infrastructura existentă de extracție, transport, înmagazinare subterană și distribuție este extinsă pe întreg teritoriul țării. </w:t>
      </w:r>
    </w:p>
    <w:p w14:paraId="6EF54EF7"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53E3481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Piața de gaze naturale este avantajată de poziția favorabilă a României față de capacitățile de transport în regiune şi de posibilitatea de interconectare a SNT cu sistemele de transport central europene și cu resursele de gaze din Bazinul Caspic, din estul Mării Mediterane și din Orientul Mijlociu, prin Coridorul Sudic.</w:t>
      </w:r>
    </w:p>
    <w:p w14:paraId="5151D65A"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B990A6B"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w:t>
      </w:r>
      <w:r w:rsidR="00136EC8" w:rsidRPr="007C266E">
        <w:rPr>
          <w:rFonts w:ascii="Times New Roman" w:hAnsi="Times New Roman" w:cs="Times New Roman"/>
          <w:sz w:val="23"/>
          <w:szCs w:val="23"/>
          <w:lang w:val="ro-RO"/>
        </w:rPr>
        <w:t xml:space="preserve"> anul</w:t>
      </w:r>
      <w:r w:rsidRPr="007C266E">
        <w:rPr>
          <w:rFonts w:ascii="Times New Roman" w:hAnsi="Times New Roman" w:cs="Times New Roman"/>
          <w:sz w:val="23"/>
          <w:szCs w:val="23"/>
          <w:lang w:val="ro-RO"/>
        </w:rPr>
        <w:t xml:space="preserve"> 201</w:t>
      </w:r>
      <w:r w:rsidR="00B3379C" w:rsidRPr="007C266E">
        <w:rPr>
          <w:rFonts w:ascii="Times New Roman" w:hAnsi="Times New Roman" w:cs="Times New Roman"/>
          <w:sz w:val="23"/>
          <w:szCs w:val="23"/>
          <w:lang w:val="ro-RO"/>
        </w:rPr>
        <w:t>9</w:t>
      </w:r>
      <w:r w:rsidRPr="007C266E">
        <w:rPr>
          <w:rFonts w:ascii="Times New Roman" w:hAnsi="Times New Roman" w:cs="Times New Roman"/>
          <w:sz w:val="23"/>
          <w:szCs w:val="23"/>
          <w:lang w:val="ro-RO"/>
        </w:rPr>
        <w:t xml:space="preserve">, consumul total de gaze naturale a fost de </w:t>
      </w:r>
      <w:r w:rsidR="00136EC8" w:rsidRPr="007C266E">
        <w:rPr>
          <w:rFonts w:ascii="Times New Roman" w:hAnsi="Times New Roman" w:cs="Times New Roman"/>
          <w:sz w:val="23"/>
          <w:szCs w:val="23"/>
          <w:lang w:val="ro-RO"/>
        </w:rPr>
        <w:t>121,2</w:t>
      </w:r>
      <w:r w:rsidRPr="007C266E">
        <w:rPr>
          <w:rFonts w:ascii="Times New Roman" w:hAnsi="Times New Roman" w:cs="Times New Roman"/>
          <w:sz w:val="23"/>
          <w:szCs w:val="23"/>
          <w:lang w:val="ro-RO"/>
        </w:rPr>
        <w:t xml:space="preserve"> TWh, din care producţia internă a acoperit </w:t>
      </w:r>
      <w:r w:rsidR="00B3379C" w:rsidRPr="007C266E">
        <w:rPr>
          <w:rFonts w:ascii="Times New Roman" w:hAnsi="Times New Roman" w:cs="Times New Roman"/>
          <w:sz w:val="23"/>
          <w:szCs w:val="23"/>
          <w:lang w:val="ro-RO"/>
        </w:rPr>
        <w:t>78</w:t>
      </w:r>
      <w:r w:rsidRPr="007C266E">
        <w:rPr>
          <w:rFonts w:ascii="Times New Roman" w:hAnsi="Times New Roman" w:cs="Times New Roman"/>
          <w:sz w:val="23"/>
          <w:szCs w:val="23"/>
          <w:lang w:val="ro-RO"/>
        </w:rPr>
        <w:t xml:space="preserve">%, iar importul </w:t>
      </w:r>
      <w:r w:rsidR="00B3379C" w:rsidRPr="007C266E">
        <w:rPr>
          <w:rFonts w:ascii="Times New Roman" w:hAnsi="Times New Roman" w:cs="Times New Roman"/>
          <w:sz w:val="23"/>
          <w:szCs w:val="23"/>
          <w:lang w:val="ro-RO"/>
        </w:rPr>
        <w:t>22</w:t>
      </w:r>
      <w:r w:rsidRPr="007C266E">
        <w:rPr>
          <w:rFonts w:ascii="Times New Roman" w:hAnsi="Times New Roman" w:cs="Times New Roman"/>
          <w:sz w:val="23"/>
          <w:szCs w:val="23"/>
          <w:lang w:val="ro-RO"/>
        </w:rPr>
        <w:t xml:space="preserve">%. Structura consumului: consum casnic - cca </w:t>
      </w:r>
      <w:r w:rsidR="00136EC8" w:rsidRPr="007C266E">
        <w:rPr>
          <w:rFonts w:ascii="Times New Roman" w:hAnsi="Times New Roman" w:cs="Times New Roman"/>
          <w:sz w:val="23"/>
          <w:szCs w:val="23"/>
          <w:lang w:val="ro-RO"/>
        </w:rPr>
        <w:t xml:space="preserve"> 34,24</w:t>
      </w:r>
      <w:r w:rsidRPr="007C266E">
        <w:rPr>
          <w:rFonts w:ascii="Times New Roman" w:hAnsi="Times New Roman" w:cs="Times New Roman"/>
          <w:sz w:val="23"/>
          <w:szCs w:val="23"/>
          <w:lang w:val="ro-RO"/>
        </w:rPr>
        <w:t xml:space="preserve"> TWh (</w:t>
      </w:r>
      <w:r w:rsidR="00B3379C" w:rsidRPr="007C266E">
        <w:rPr>
          <w:rFonts w:ascii="Times New Roman" w:hAnsi="Times New Roman" w:cs="Times New Roman"/>
          <w:sz w:val="23"/>
          <w:szCs w:val="23"/>
          <w:lang w:val="ro-RO"/>
        </w:rPr>
        <w:t>30.24</w:t>
      </w:r>
      <w:r w:rsidRPr="007C266E">
        <w:rPr>
          <w:rFonts w:ascii="Times New Roman" w:hAnsi="Times New Roman" w:cs="Times New Roman"/>
          <w:sz w:val="23"/>
          <w:szCs w:val="23"/>
          <w:lang w:val="ro-RO"/>
        </w:rPr>
        <w:t xml:space="preserve">%), </w:t>
      </w:r>
      <w:r w:rsidR="00B3379C" w:rsidRPr="007C266E">
        <w:rPr>
          <w:rFonts w:ascii="Times New Roman" w:hAnsi="Times New Roman" w:cs="Times New Roman"/>
          <w:sz w:val="23"/>
          <w:szCs w:val="23"/>
          <w:lang w:val="ro-RO"/>
        </w:rPr>
        <w:t xml:space="preserve"> și consum noncasnic – 78.90 TWh (69,76%).</w:t>
      </w:r>
    </w:p>
    <w:p w14:paraId="49318EE6" w14:textId="77777777" w:rsidR="008D11F1" w:rsidRPr="007C266E" w:rsidRDefault="008D11F1" w:rsidP="009E5804">
      <w:pPr>
        <w:spacing w:after="0" w:line="240" w:lineRule="auto"/>
        <w:jc w:val="both"/>
        <w:rPr>
          <w:rFonts w:ascii="Times New Roman" w:hAnsi="Times New Roman" w:cs="Times New Roman"/>
          <w:sz w:val="23"/>
          <w:szCs w:val="23"/>
          <w:lang w:val="ro-RO"/>
        </w:rPr>
      </w:pPr>
    </w:p>
    <w:p w14:paraId="0D43FA34"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C</w:t>
      </w:r>
      <w:r w:rsidR="00824690" w:rsidRPr="007C266E">
        <w:rPr>
          <w:rFonts w:ascii="Times New Roman" w:hAnsi="Times New Roman" w:cs="Times New Roman"/>
          <w:b/>
          <w:sz w:val="23"/>
          <w:szCs w:val="23"/>
          <w:lang w:val="ro-RO"/>
        </w:rPr>
        <w:t>ărbune</w:t>
      </w:r>
    </w:p>
    <w:p w14:paraId="03E25EE8"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E5F9EBC" w14:textId="77777777" w:rsidR="00824690"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Cărbunele este resursa energetică primară de bază în componența mixului energetic, fiind </w:t>
      </w:r>
      <w:r w:rsidRPr="007C266E">
        <w:rPr>
          <w:rFonts w:ascii="Times New Roman" w:hAnsi="Times New Roman" w:cs="Times New Roman"/>
          <w:sz w:val="23"/>
          <w:szCs w:val="23"/>
          <w:lang w:val="ro-RO"/>
        </w:rPr>
        <w:lastRenderedPageBreak/>
        <w:t xml:space="preserve">un combustibil strategic în susținerea securității energetice naționale și regionale. În perioadele meteorologice extreme, cărbunele stă la baza rezilienței alimentării cu energie și a bunei funcționări a Sistemului Energetic National (SEN), acoperind o treime din necesarul de energie </w:t>
      </w:r>
      <w:r w:rsidR="006C46D7" w:rsidRPr="007C266E">
        <w:rPr>
          <w:rFonts w:ascii="Times New Roman" w:hAnsi="Times New Roman" w:cs="Times New Roman"/>
          <w:sz w:val="23"/>
          <w:szCs w:val="23"/>
          <w:lang w:val="ro-RO"/>
        </w:rPr>
        <w:t xml:space="preserve">electrică. </w:t>
      </w:r>
    </w:p>
    <w:p w14:paraId="55594B77" w14:textId="77777777" w:rsidR="006C46D7" w:rsidRPr="007C266E" w:rsidRDefault="006C46D7" w:rsidP="009E5804">
      <w:pPr>
        <w:spacing w:after="0" w:line="240" w:lineRule="auto"/>
        <w:jc w:val="both"/>
        <w:rPr>
          <w:rFonts w:ascii="Times New Roman" w:hAnsi="Times New Roman" w:cs="Times New Roman"/>
          <w:sz w:val="23"/>
          <w:szCs w:val="23"/>
          <w:lang w:val="ro-RO"/>
        </w:rPr>
      </w:pPr>
    </w:p>
    <w:p w14:paraId="5DB104C5"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Resursele de lignit din România sunt estimate la 690 mil. tone [124 mil. tep], din care exploatabile în perimetre concesionate 290 mil. tone [52 mil. tep]. La un consum mediu al resurselor de 4.5 mil. tep/an, gradul de asigurare cu resurse de lignit este de 28 ani în condițiile în care în următorii 25 de ani consumul va rămâne constant și nu vor mai fi puse în valoare alte zăcăminte de lignit. </w:t>
      </w:r>
    </w:p>
    <w:p w14:paraId="6B10F306"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44817E2"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Puterea calorifică medie a lignitului exploatat în România este de 1</w:t>
      </w:r>
      <w:r w:rsidR="00EF5915"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800 kcal/kg. Deoarece </w:t>
      </w:r>
      <w:r w:rsidRPr="007C266E">
        <w:rPr>
          <w:rFonts w:ascii="Times New Roman" w:hAnsi="Times New Roman" w:cs="Times New Roman"/>
          <w:sz w:val="23"/>
          <w:szCs w:val="23"/>
          <w:lang w:val="ro-RO"/>
        </w:rPr>
        <w:lastRenderedPageBreak/>
        <w:t>zăcământul de lignit din Oltenia este format din 1-8 straturi de cărbune exploatabile, valorificarea superioară a acestora impune adoptarea urgentă a unor reglementări care să garanteze exploatarea raţională în condiţii de siguranţă și eficiență, cu pierderi minime.</w:t>
      </w:r>
    </w:p>
    <w:p w14:paraId="5CC8DF63"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12ED233"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Resursele de huilă din România cunoscute sunt de 232 mil. tone [85 mil. tep] din care exploatabile în perimetre concesionate 83 mil. tone [30 mil. tep]. La un consum mediu al rezervelor de 0.3 mil. tep/an gradul de asigurare cu resurse de huila este de 104 ani</w:t>
      </w:r>
      <w:r w:rsidR="0025001D"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dar exploatarea acestei resurse energetice primare este condiționată de fezabilitatea </w:t>
      </w:r>
      <w:r w:rsidR="00F27414" w:rsidRPr="007C266E">
        <w:rPr>
          <w:rFonts w:ascii="Times New Roman" w:hAnsi="Times New Roman" w:cs="Times New Roman"/>
          <w:sz w:val="23"/>
          <w:szCs w:val="23"/>
          <w:lang w:val="ro-RO"/>
        </w:rPr>
        <w:t xml:space="preserve">economică a </w:t>
      </w:r>
      <w:r w:rsidRPr="007C266E">
        <w:rPr>
          <w:rFonts w:ascii="Times New Roman" w:hAnsi="Times New Roman" w:cs="Times New Roman"/>
          <w:sz w:val="23"/>
          <w:szCs w:val="23"/>
          <w:lang w:val="ro-RO"/>
        </w:rPr>
        <w:t xml:space="preserve">exploatărilor. </w:t>
      </w:r>
    </w:p>
    <w:p w14:paraId="1C42C453"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Puterea calorifică medie a huilei exploatate în România este de 3</w:t>
      </w:r>
      <w:r w:rsidR="00EF5915"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650 kcal/kg.</w:t>
      </w:r>
    </w:p>
    <w:p w14:paraId="487256CE" w14:textId="77777777" w:rsidR="00F840EF" w:rsidRPr="007C266E" w:rsidRDefault="00F840EF" w:rsidP="009E5804">
      <w:pPr>
        <w:spacing w:after="0" w:line="240" w:lineRule="auto"/>
        <w:jc w:val="both"/>
        <w:rPr>
          <w:rFonts w:ascii="Times New Roman" w:hAnsi="Times New Roman" w:cs="Times New Roman"/>
          <w:color w:val="FF0000"/>
          <w:sz w:val="23"/>
          <w:szCs w:val="23"/>
          <w:lang w:val="ro-RO"/>
        </w:rPr>
        <w:sectPr w:rsidR="00F840EF" w:rsidRPr="007C266E" w:rsidSect="0089425F">
          <w:type w:val="continuous"/>
          <w:pgSz w:w="12240" w:h="15840"/>
          <w:pgMar w:top="1440" w:right="1440" w:bottom="1440" w:left="1440" w:header="720" w:footer="720" w:gutter="0"/>
          <w:cols w:num="2" w:space="720"/>
          <w:docGrid w:linePitch="360"/>
        </w:sectPr>
      </w:pPr>
    </w:p>
    <w:p w14:paraId="6578EE95" w14:textId="77777777" w:rsidR="00AB2EB9" w:rsidRPr="007C266E" w:rsidRDefault="00AB2EB9" w:rsidP="009E5804">
      <w:pPr>
        <w:spacing w:after="0" w:line="240" w:lineRule="auto"/>
        <w:jc w:val="both"/>
        <w:rPr>
          <w:rFonts w:ascii="Times New Roman" w:hAnsi="Times New Roman" w:cs="Times New Roman"/>
          <w:b/>
          <w:i/>
          <w:sz w:val="23"/>
          <w:szCs w:val="23"/>
          <w:lang w:val="ro-RO"/>
        </w:rPr>
      </w:pPr>
    </w:p>
    <w:p w14:paraId="6B65AA7C" w14:textId="77777777" w:rsidR="00F840EF" w:rsidRPr="007C266E" w:rsidRDefault="006940AA" w:rsidP="009E5804">
      <w:pPr>
        <w:spacing w:after="0" w:line="240" w:lineRule="auto"/>
        <w:rPr>
          <w:rFonts w:ascii="Times New Roman" w:hAnsi="Times New Roman" w:cs="Times New Roman"/>
          <w:b/>
          <w:i/>
          <w:sz w:val="23"/>
          <w:szCs w:val="23"/>
          <w:lang w:val="ro-RO"/>
        </w:rPr>
      </w:pPr>
      <w:r>
        <w:rPr>
          <w:rFonts w:ascii="Times New Roman" w:hAnsi="Times New Roman" w:cs="Times New Roman"/>
          <w:color w:val="FF0000"/>
          <w:sz w:val="23"/>
          <w:szCs w:val="23"/>
          <w:lang w:val="ro-RO"/>
        </w:rPr>
        <w:object w:dxaOrig="1440" w:dyaOrig="1440" w14:anchorId="58348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2.4pt;margin-top:18.5pt;width:400.3pt;height:128.3pt;z-index:251658240" wrapcoords="-243 -704 -243 22187 21843 22187 21843 -704 -243 -704" stroked="t" strokecolor="#bfbfbf" strokeweight="4.5pt">
            <v:stroke linestyle="thinThick"/>
            <v:imagedata r:id="rId20" o:title=""/>
            <w10:wrap type="tight"/>
          </v:shape>
          <o:OLEObject Type="Embed" ProgID="Excel.Sheet.12" ShapeID="_x0000_s1028" DrawAspect="Content" ObjectID="_1667288450" r:id="rId21"/>
        </w:object>
      </w:r>
      <w:r w:rsidR="006A6609" w:rsidRPr="007C266E">
        <w:rPr>
          <w:rFonts w:ascii="Times New Roman" w:hAnsi="Times New Roman" w:cs="Times New Roman"/>
          <w:b/>
          <w:i/>
          <w:sz w:val="23"/>
          <w:szCs w:val="23"/>
          <w:lang w:val="ro-RO"/>
        </w:rPr>
        <w:t>S</w:t>
      </w:r>
      <w:r w:rsidR="00C43C61" w:rsidRPr="007C266E">
        <w:rPr>
          <w:rFonts w:ascii="Times New Roman" w:hAnsi="Times New Roman" w:cs="Times New Roman"/>
          <w:b/>
          <w:i/>
          <w:sz w:val="23"/>
          <w:szCs w:val="23"/>
          <w:lang w:val="ro-RO"/>
        </w:rPr>
        <w:t>ituaţia resurselor naţionale de</w:t>
      </w:r>
      <w:r w:rsidR="00D26E2A" w:rsidRPr="007C266E">
        <w:rPr>
          <w:rFonts w:ascii="Times New Roman" w:hAnsi="Times New Roman" w:cs="Times New Roman"/>
          <w:b/>
          <w:i/>
          <w:sz w:val="23"/>
          <w:szCs w:val="23"/>
          <w:lang w:val="ro-RO"/>
        </w:rPr>
        <w:t xml:space="preserve"> energie primară</w:t>
      </w:r>
      <w:r w:rsidR="00824690" w:rsidRPr="007C266E">
        <w:rPr>
          <w:rFonts w:ascii="Times New Roman" w:hAnsi="Times New Roman" w:cs="Times New Roman"/>
          <w:b/>
          <w:i/>
          <w:sz w:val="23"/>
          <w:szCs w:val="23"/>
          <w:lang w:val="ro-RO"/>
        </w:rPr>
        <w:t xml:space="preserve"> (sursa: ANRM)</w:t>
      </w:r>
    </w:p>
    <w:p w14:paraId="364A4784" w14:textId="77777777" w:rsidR="006A6609" w:rsidRPr="007C266E" w:rsidRDefault="006A6609" w:rsidP="009E5804">
      <w:pPr>
        <w:spacing w:after="0" w:line="240" w:lineRule="auto"/>
        <w:jc w:val="both"/>
        <w:rPr>
          <w:rFonts w:ascii="Times New Roman" w:hAnsi="Times New Roman" w:cs="Times New Roman"/>
          <w:b/>
          <w:i/>
          <w:sz w:val="23"/>
          <w:szCs w:val="23"/>
          <w:lang w:val="ro-RO"/>
        </w:rPr>
        <w:sectPr w:rsidR="006A6609" w:rsidRPr="007C266E" w:rsidSect="0089425F">
          <w:type w:val="continuous"/>
          <w:pgSz w:w="12240" w:h="15840"/>
          <w:pgMar w:top="1440" w:right="1440" w:bottom="1440" w:left="1440" w:header="720" w:footer="720" w:gutter="0"/>
          <w:cols w:space="720"/>
          <w:docGrid w:linePitch="360"/>
        </w:sectPr>
      </w:pPr>
    </w:p>
    <w:p w14:paraId="5AA65F27" w14:textId="77777777" w:rsidR="006A6609" w:rsidRPr="007C266E" w:rsidRDefault="006A6609" w:rsidP="009E5804">
      <w:pPr>
        <w:spacing w:after="0" w:line="240" w:lineRule="auto"/>
        <w:jc w:val="both"/>
        <w:rPr>
          <w:rFonts w:ascii="Times New Roman" w:hAnsi="Times New Roman" w:cs="Times New Roman"/>
          <w:sz w:val="23"/>
          <w:szCs w:val="23"/>
          <w:lang w:val="ro-RO"/>
        </w:rPr>
      </w:pPr>
    </w:p>
    <w:p w14:paraId="3B9D50F5" w14:textId="77777777" w:rsidR="00A07A14" w:rsidRPr="007C266E" w:rsidRDefault="00A07A14" w:rsidP="009E5804">
      <w:pPr>
        <w:spacing w:after="0" w:line="240" w:lineRule="auto"/>
        <w:jc w:val="both"/>
        <w:rPr>
          <w:rFonts w:ascii="Times New Roman" w:hAnsi="Times New Roman" w:cs="Times New Roman"/>
          <w:b/>
          <w:sz w:val="23"/>
          <w:szCs w:val="23"/>
          <w:lang w:val="ro-RO"/>
        </w:rPr>
      </w:pPr>
    </w:p>
    <w:p w14:paraId="1D378F2A" w14:textId="77777777" w:rsidR="00A07A14" w:rsidRPr="007C266E" w:rsidRDefault="00A07A14" w:rsidP="009E5804">
      <w:pPr>
        <w:spacing w:after="0" w:line="240" w:lineRule="auto"/>
        <w:jc w:val="both"/>
        <w:rPr>
          <w:rFonts w:ascii="Times New Roman" w:hAnsi="Times New Roman" w:cs="Times New Roman"/>
          <w:b/>
          <w:sz w:val="23"/>
          <w:szCs w:val="23"/>
          <w:lang w:val="ro-RO"/>
        </w:rPr>
      </w:pPr>
    </w:p>
    <w:p w14:paraId="777BEEA9" w14:textId="77777777" w:rsidR="00A07A14" w:rsidRPr="007C266E" w:rsidRDefault="00A07A14" w:rsidP="009E5804">
      <w:pPr>
        <w:spacing w:after="0" w:line="240" w:lineRule="auto"/>
        <w:jc w:val="both"/>
        <w:rPr>
          <w:rFonts w:ascii="Times New Roman" w:hAnsi="Times New Roman" w:cs="Times New Roman"/>
          <w:b/>
          <w:sz w:val="23"/>
          <w:szCs w:val="23"/>
          <w:lang w:val="ro-RO"/>
        </w:rPr>
      </w:pPr>
    </w:p>
    <w:p w14:paraId="687FB045" w14:textId="77777777" w:rsidR="00A07A14" w:rsidRPr="007C266E" w:rsidRDefault="00A07A14" w:rsidP="009E5804">
      <w:pPr>
        <w:spacing w:after="0" w:line="240" w:lineRule="auto"/>
        <w:jc w:val="both"/>
        <w:rPr>
          <w:rFonts w:ascii="Times New Roman" w:hAnsi="Times New Roman" w:cs="Times New Roman"/>
          <w:b/>
          <w:sz w:val="23"/>
          <w:szCs w:val="23"/>
          <w:lang w:val="ro-RO"/>
        </w:rPr>
      </w:pPr>
    </w:p>
    <w:p w14:paraId="059A300B" w14:textId="77777777" w:rsidR="00A07A14" w:rsidRPr="007C266E" w:rsidRDefault="00A07A14" w:rsidP="009E5804">
      <w:pPr>
        <w:spacing w:after="0" w:line="240" w:lineRule="auto"/>
        <w:jc w:val="both"/>
        <w:rPr>
          <w:rFonts w:ascii="Times New Roman" w:hAnsi="Times New Roman" w:cs="Times New Roman"/>
          <w:b/>
          <w:sz w:val="23"/>
          <w:szCs w:val="23"/>
          <w:lang w:val="ro-RO"/>
        </w:rPr>
      </w:pPr>
    </w:p>
    <w:p w14:paraId="0731DBD5" w14:textId="77777777" w:rsidR="00A07A14" w:rsidRPr="007C266E" w:rsidRDefault="00A07A14" w:rsidP="009E5804">
      <w:pPr>
        <w:spacing w:after="0" w:line="240" w:lineRule="auto"/>
        <w:jc w:val="both"/>
        <w:rPr>
          <w:rFonts w:ascii="Times New Roman" w:hAnsi="Times New Roman" w:cs="Times New Roman"/>
          <w:b/>
          <w:sz w:val="23"/>
          <w:szCs w:val="23"/>
          <w:lang w:val="ro-RO"/>
        </w:rPr>
      </w:pPr>
    </w:p>
    <w:p w14:paraId="1ECB38F2" w14:textId="77777777" w:rsidR="00A07A14" w:rsidRPr="007C266E" w:rsidRDefault="00A07A14" w:rsidP="009E5804">
      <w:pPr>
        <w:spacing w:after="0" w:line="240" w:lineRule="auto"/>
        <w:jc w:val="both"/>
        <w:rPr>
          <w:rFonts w:ascii="Times New Roman" w:hAnsi="Times New Roman" w:cs="Times New Roman"/>
          <w:b/>
          <w:sz w:val="23"/>
          <w:szCs w:val="23"/>
          <w:lang w:val="ro-RO"/>
        </w:rPr>
      </w:pPr>
    </w:p>
    <w:p w14:paraId="75546916" w14:textId="77777777" w:rsidR="00A07A14" w:rsidRPr="007C266E" w:rsidRDefault="00A07A14" w:rsidP="009E5804">
      <w:pPr>
        <w:spacing w:after="0" w:line="240" w:lineRule="auto"/>
        <w:jc w:val="both"/>
        <w:rPr>
          <w:rFonts w:ascii="Times New Roman" w:hAnsi="Times New Roman" w:cs="Times New Roman"/>
          <w:b/>
          <w:sz w:val="23"/>
          <w:szCs w:val="23"/>
          <w:lang w:val="ro-RO"/>
        </w:rPr>
      </w:pPr>
    </w:p>
    <w:p w14:paraId="425074A4" w14:textId="77777777" w:rsidR="00A07A14" w:rsidRPr="007C266E" w:rsidRDefault="00A07A14" w:rsidP="009E5804">
      <w:pPr>
        <w:spacing w:after="0" w:line="240" w:lineRule="auto"/>
        <w:jc w:val="both"/>
        <w:rPr>
          <w:rFonts w:ascii="Times New Roman" w:hAnsi="Times New Roman" w:cs="Times New Roman"/>
          <w:b/>
          <w:sz w:val="23"/>
          <w:szCs w:val="23"/>
          <w:lang w:val="ro-RO"/>
        </w:rPr>
      </w:pPr>
    </w:p>
    <w:p w14:paraId="239796F7" w14:textId="77777777" w:rsidR="00A07A14" w:rsidRPr="007C266E" w:rsidRDefault="00A07A14" w:rsidP="009E5804">
      <w:pPr>
        <w:spacing w:after="0" w:line="240" w:lineRule="auto"/>
        <w:jc w:val="both"/>
        <w:rPr>
          <w:rFonts w:ascii="Times New Roman" w:hAnsi="Times New Roman" w:cs="Times New Roman"/>
          <w:b/>
          <w:sz w:val="23"/>
          <w:szCs w:val="23"/>
          <w:lang w:val="ro-RO"/>
        </w:rPr>
      </w:pPr>
    </w:p>
    <w:p w14:paraId="44FED9B2"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U</w:t>
      </w:r>
      <w:r w:rsidR="00824690" w:rsidRPr="007C266E">
        <w:rPr>
          <w:rFonts w:ascii="Times New Roman" w:hAnsi="Times New Roman" w:cs="Times New Roman"/>
          <w:b/>
          <w:sz w:val="23"/>
          <w:szCs w:val="23"/>
          <w:lang w:val="ro-RO"/>
        </w:rPr>
        <w:t>raniu</w:t>
      </w:r>
    </w:p>
    <w:p w14:paraId="7FF2555B" w14:textId="77777777" w:rsidR="00824690" w:rsidRPr="007C266E" w:rsidRDefault="00824690" w:rsidP="009E5804">
      <w:pPr>
        <w:spacing w:after="0" w:line="240" w:lineRule="auto"/>
        <w:jc w:val="both"/>
        <w:rPr>
          <w:rFonts w:ascii="Times New Roman" w:hAnsi="Times New Roman" w:cs="Times New Roman"/>
          <w:b/>
          <w:sz w:val="23"/>
          <w:szCs w:val="23"/>
          <w:lang w:val="ro-RO"/>
        </w:rPr>
      </w:pPr>
    </w:p>
    <w:p w14:paraId="0EC18025" w14:textId="77777777" w:rsidR="00824690"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România dispune de un ciclu deschis complet al combustibilului nuclear, dezvoltat pe baza tehnologiei canadiene de tip CANDU. Dioxidul de uraniu (UO2), utilizat pentru fabricarea combustibilului nuclear necesar reactoarelor 1 și 2 de la Cernavodă, este produsul procesării și rafinării uraniului extras din producția indigenă. </w:t>
      </w:r>
    </w:p>
    <w:p w14:paraId="305DB720" w14:textId="77777777" w:rsidR="00824690" w:rsidRPr="007C266E" w:rsidRDefault="00824690" w:rsidP="009E5804">
      <w:pPr>
        <w:spacing w:after="0" w:line="240" w:lineRule="auto"/>
        <w:jc w:val="both"/>
        <w:rPr>
          <w:rFonts w:ascii="Times New Roman" w:hAnsi="Times New Roman" w:cs="Times New Roman"/>
          <w:sz w:val="23"/>
          <w:szCs w:val="23"/>
          <w:lang w:val="ro-RO"/>
        </w:rPr>
      </w:pPr>
    </w:p>
    <w:p w14:paraId="16471C7F" w14:textId="77777777" w:rsidR="00524B3F" w:rsidRPr="007C266E" w:rsidRDefault="0086201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O</w:t>
      </w:r>
      <w:r w:rsidR="00C43C61" w:rsidRPr="007C266E">
        <w:rPr>
          <w:rFonts w:ascii="Times New Roman" w:hAnsi="Times New Roman" w:cs="Times New Roman"/>
          <w:sz w:val="23"/>
          <w:szCs w:val="23"/>
          <w:lang w:val="ro-RO"/>
        </w:rPr>
        <w:t xml:space="preserve">peratorul centralei nucleare de la Cernavodă, Nuclearelectrica SA, achiziționează materia primă atât de </w:t>
      </w:r>
    </w:p>
    <w:p w14:paraId="411CEDC2" w14:textId="77777777" w:rsidR="0086201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pe piața internă, cât și de pe piața externă în vederea fabricării combustibilului nuclear.</w:t>
      </w:r>
      <w:r w:rsidR="00862011" w:rsidRPr="007C266E">
        <w:rPr>
          <w:rFonts w:ascii="Times New Roman" w:hAnsi="Times New Roman" w:cs="Times New Roman"/>
          <w:sz w:val="23"/>
          <w:szCs w:val="23"/>
          <w:lang w:val="ro-RO"/>
        </w:rPr>
        <w:t xml:space="preserve"> Pentru a spori securitatea aprovizionării cu materia primă necesară fabricării combustibilului nuclear și reducerii dependenței de import pe lanțul de producere a combustibilului nuclear, se ia în considerare achiziționarea uzinei de la Feldioara din cadrul CNU în vederea internalizării serviciilor de procesare și eficientizării costului materiei prime necesară fabricării combustibilului nuclear pentru CNE Cernavodă.</w:t>
      </w:r>
      <w:r w:rsidR="00AD778B" w:rsidRPr="007C266E">
        <w:rPr>
          <w:rFonts w:ascii="Times New Roman" w:hAnsi="Times New Roman" w:cs="Times New Roman"/>
          <w:sz w:val="23"/>
          <w:szCs w:val="23"/>
          <w:lang w:val="ro-RO"/>
        </w:rPr>
        <w:t xml:space="preserve"> </w:t>
      </w:r>
    </w:p>
    <w:p w14:paraId="0DD9F91B" w14:textId="77777777" w:rsidR="00AD778B" w:rsidRPr="007C266E" w:rsidRDefault="00AD778B" w:rsidP="009E5804">
      <w:pPr>
        <w:spacing w:after="0" w:line="240" w:lineRule="auto"/>
        <w:jc w:val="both"/>
        <w:rPr>
          <w:rFonts w:ascii="Times New Roman" w:hAnsi="Times New Roman" w:cs="Times New Roman"/>
          <w:sz w:val="23"/>
          <w:szCs w:val="23"/>
          <w:lang w:val="ro-RO"/>
        </w:rPr>
      </w:pPr>
    </w:p>
    <w:p w14:paraId="59B2DB6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Rezervele de minereu existente si exploatabile as</w:t>
      </w:r>
      <w:r w:rsidR="00D26E2A" w:rsidRPr="007C266E">
        <w:rPr>
          <w:rFonts w:ascii="Times New Roman" w:hAnsi="Times New Roman" w:cs="Times New Roman"/>
          <w:sz w:val="23"/>
          <w:szCs w:val="23"/>
          <w:lang w:val="ro-RO"/>
        </w:rPr>
        <w:t xml:space="preserve">igură cererea de uraniu natural </w:t>
      </w:r>
      <w:r w:rsidRPr="007C266E">
        <w:rPr>
          <w:rFonts w:ascii="Times New Roman" w:hAnsi="Times New Roman" w:cs="Times New Roman"/>
          <w:sz w:val="23"/>
          <w:szCs w:val="23"/>
          <w:lang w:val="ro-RO"/>
        </w:rPr>
        <w:t>pentru funcționarea a do</w:t>
      </w:r>
      <w:r w:rsidR="002B799E" w:rsidRPr="007C266E">
        <w:rPr>
          <w:rFonts w:ascii="Times New Roman" w:hAnsi="Times New Roman" w:cs="Times New Roman"/>
          <w:sz w:val="23"/>
          <w:szCs w:val="23"/>
          <w:lang w:val="ro-RO"/>
        </w:rPr>
        <w:t xml:space="preserve">uă unităţi nuclear-electrice pe </w:t>
      </w:r>
      <w:r w:rsidR="00ED4640" w:rsidRPr="007C266E">
        <w:rPr>
          <w:rFonts w:ascii="Times New Roman" w:hAnsi="Times New Roman" w:cs="Times New Roman"/>
          <w:sz w:val="23"/>
          <w:szCs w:val="23"/>
          <w:lang w:val="ro-RO"/>
        </w:rPr>
        <w:t>toată durata de operare</w:t>
      </w:r>
      <w:r w:rsidRPr="007C266E">
        <w:rPr>
          <w:rFonts w:ascii="Times New Roman" w:hAnsi="Times New Roman" w:cs="Times New Roman"/>
          <w:sz w:val="23"/>
          <w:szCs w:val="23"/>
          <w:lang w:val="ro-RO"/>
        </w:rPr>
        <w:t>.</w:t>
      </w:r>
    </w:p>
    <w:p w14:paraId="3D98A286"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39FB291"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sz w:val="23"/>
          <w:szCs w:val="23"/>
          <w:lang w:val="ro-RO"/>
        </w:rPr>
        <w:lastRenderedPageBreak/>
        <w:t xml:space="preserve"> </w:t>
      </w:r>
      <w:r w:rsidRPr="007C266E">
        <w:rPr>
          <w:rFonts w:ascii="Times New Roman" w:hAnsi="Times New Roman" w:cs="Times New Roman"/>
          <w:b/>
          <w:sz w:val="23"/>
          <w:szCs w:val="23"/>
          <w:lang w:val="ro-RO"/>
        </w:rPr>
        <w:t>S</w:t>
      </w:r>
      <w:r w:rsidR="00824690" w:rsidRPr="007C266E">
        <w:rPr>
          <w:rFonts w:ascii="Times New Roman" w:hAnsi="Times New Roman" w:cs="Times New Roman"/>
          <w:b/>
          <w:sz w:val="23"/>
          <w:szCs w:val="23"/>
          <w:lang w:val="ro-RO"/>
        </w:rPr>
        <w:t>ursele regenerabile de energie</w:t>
      </w:r>
    </w:p>
    <w:p w14:paraId="40922DE2"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2F6FC56" w14:textId="23EE1077" w:rsidR="00824690"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România dispune de resurse bogate și variate de energie regenerabilă: biomasă, hidroenergie, potențial geotermal, respecti</w:t>
      </w:r>
      <w:r w:rsidR="002002AC" w:rsidRPr="007C266E">
        <w:rPr>
          <w:rFonts w:ascii="Times New Roman" w:hAnsi="Times New Roman" w:cs="Times New Roman"/>
          <w:sz w:val="23"/>
          <w:szCs w:val="23"/>
          <w:lang w:val="ro-RO"/>
        </w:rPr>
        <w:t>v pentru energie eoliană</w:t>
      </w:r>
      <w:r w:rsidRPr="007C266E">
        <w:rPr>
          <w:rFonts w:ascii="Times New Roman" w:hAnsi="Times New Roman" w:cs="Times New Roman"/>
          <w:sz w:val="23"/>
          <w:szCs w:val="23"/>
          <w:lang w:val="ro-RO"/>
        </w:rPr>
        <w:t xml:space="preserve"> și fotovoltaică. Acestea sunt distribuite pe întreg teritoriul țării și vor putea fi exploatate pe scară mai largă pe măsură ce raportul performanță-preț al tehnologiilor se va îmbunătăți, prin maturizarea noilor generații de echipamente și instalații aferente. </w:t>
      </w:r>
    </w:p>
    <w:p w14:paraId="183B42CA" w14:textId="77777777" w:rsidR="00824690" w:rsidRPr="007C266E" w:rsidRDefault="00824690" w:rsidP="009E5804">
      <w:pPr>
        <w:spacing w:after="0" w:line="240" w:lineRule="auto"/>
        <w:jc w:val="both"/>
        <w:rPr>
          <w:rFonts w:ascii="Times New Roman" w:hAnsi="Times New Roman" w:cs="Times New Roman"/>
          <w:sz w:val="23"/>
          <w:szCs w:val="23"/>
          <w:lang w:val="ro-RO"/>
        </w:rPr>
      </w:pPr>
    </w:p>
    <w:p w14:paraId="347E072A" w14:textId="77777777" w:rsidR="00824690"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Potențialul hidroenergetic este utilizat în bună măsură, deși există posibilitatea de a continua amenajarea hidroenergetică a cursurilor principale de apă, cu respectarea bunelor practici de protecție a biodiversității și ecosistemelor. </w:t>
      </w:r>
    </w:p>
    <w:p w14:paraId="61E5B08B" w14:textId="77777777" w:rsidR="00824690" w:rsidRPr="007C266E" w:rsidRDefault="00824690" w:rsidP="009E5804">
      <w:pPr>
        <w:spacing w:after="0" w:line="240" w:lineRule="auto"/>
        <w:jc w:val="both"/>
        <w:rPr>
          <w:rFonts w:ascii="Times New Roman" w:hAnsi="Times New Roman" w:cs="Times New Roman"/>
          <w:sz w:val="23"/>
          <w:szCs w:val="23"/>
          <w:lang w:val="ro-RO"/>
        </w:rPr>
      </w:pPr>
    </w:p>
    <w:p w14:paraId="43B2BFFA"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ultimii șase ani, România a avansat în utilizarea unei părți importante a potențialului energetic eolian și </w:t>
      </w:r>
      <w:r w:rsidR="00D26E2A" w:rsidRPr="007C266E">
        <w:rPr>
          <w:rFonts w:ascii="Times New Roman" w:hAnsi="Times New Roman" w:cs="Times New Roman"/>
          <w:sz w:val="23"/>
          <w:szCs w:val="23"/>
          <w:lang w:val="ro-RO"/>
        </w:rPr>
        <w:t>solar</w:t>
      </w:r>
      <w:r w:rsidRPr="007C266E">
        <w:rPr>
          <w:rFonts w:ascii="Times New Roman" w:hAnsi="Times New Roman" w:cs="Times New Roman"/>
          <w:sz w:val="23"/>
          <w:szCs w:val="23"/>
          <w:lang w:val="ro-RO"/>
        </w:rPr>
        <w:t xml:space="preserve">. </w:t>
      </w:r>
    </w:p>
    <w:p w14:paraId="3EDEE585" w14:textId="77777777" w:rsidR="00035B45" w:rsidRPr="007C266E" w:rsidRDefault="00035B45" w:rsidP="009E5804">
      <w:pPr>
        <w:spacing w:after="0" w:line="240" w:lineRule="auto"/>
        <w:jc w:val="both"/>
        <w:rPr>
          <w:rFonts w:ascii="Times New Roman" w:hAnsi="Times New Roman" w:cs="Times New Roman"/>
          <w:b/>
          <w:sz w:val="23"/>
          <w:szCs w:val="23"/>
          <w:lang w:val="ro-RO"/>
        </w:rPr>
      </w:pPr>
    </w:p>
    <w:p w14:paraId="3B7BC0D9"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H</w:t>
      </w:r>
      <w:r w:rsidR="00824690" w:rsidRPr="007C266E">
        <w:rPr>
          <w:rFonts w:ascii="Times New Roman" w:hAnsi="Times New Roman" w:cs="Times New Roman"/>
          <w:b/>
          <w:sz w:val="23"/>
          <w:szCs w:val="23"/>
          <w:lang w:val="ro-RO"/>
        </w:rPr>
        <w:t>idroenergia</w:t>
      </w:r>
    </w:p>
    <w:p w14:paraId="15A2154F"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6182E53"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România beneficiază de un potenţial ridicat al resurselor hidroenergetice. Dintr-un total al potenţialului teoretic liniar de aproximativ 70,0 TWh/an, potenţialul teoretic liniar al cursurilor de apă interioare este de aproximativ 51,6 TWh/an, iar cel al Dunării (doar partea românească) este evaluat la cca.18,4 TWh/an.</w:t>
      </w:r>
    </w:p>
    <w:p w14:paraId="68B5E996"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5CF0B9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Schemele de </w:t>
      </w:r>
      <w:r w:rsidR="00EF5915" w:rsidRPr="007C266E">
        <w:rPr>
          <w:rFonts w:ascii="Times New Roman" w:hAnsi="Times New Roman" w:cs="Times New Roman"/>
          <w:sz w:val="23"/>
          <w:szCs w:val="23"/>
          <w:lang w:val="ro-RO"/>
        </w:rPr>
        <w:t>amenajare</w:t>
      </w:r>
      <w:r w:rsidRPr="007C266E">
        <w:rPr>
          <w:rFonts w:ascii="Times New Roman" w:hAnsi="Times New Roman" w:cs="Times New Roman"/>
          <w:sz w:val="23"/>
          <w:szCs w:val="23"/>
          <w:lang w:val="ro-RO"/>
        </w:rPr>
        <w:t xml:space="preserve"> complexă a râurilor interioare şi a Dunării au fost elaborate începând din perioada interbelică şi au fost definitivate, în mare parte, până în anul 1990. Acestea au fost gândite pentru a permite folosinţe complexe: hidroenergie, navigaţie,  regularizarea multianuală sau sezonieră a stocurilor de apă, pentru a permite alimentarea cu apă sau irigaţii, industrie şi populaţie, precum şi pentru atenuarea viiturilor şi tranzitarea lor în siguranţă la nivelul albiilor. Schemele de amenajare au fost parţial puse în operă conform acestor folosinţe complexe până în 1990, dar o parte semnificativă sunt </w:t>
      </w:r>
      <w:r w:rsidRPr="007C266E">
        <w:rPr>
          <w:rFonts w:ascii="Times New Roman" w:hAnsi="Times New Roman" w:cs="Times New Roman"/>
          <w:sz w:val="23"/>
          <w:szCs w:val="23"/>
          <w:lang w:val="ro-RO"/>
        </w:rPr>
        <w:lastRenderedPageBreak/>
        <w:t xml:space="preserve">încă în stadiul de proiect sau au lucrări începute şi nefinalizate.  </w:t>
      </w:r>
    </w:p>
    <w:p w14:paraId="12FD6400"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DF1FEF0"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Conform schemelor de amenajare complexă concepute înainte de 1990, potenţialul hidroenergetic tehnic amenajabil este de cca. 40,5 TWh/an, din care  cca. 11,6 TWh/a</w:t>
      </w:r>
      <w:r w:rsidR="00EF5915" w:rsidRPr="007C266E">
        <w:rPr>
          <w:rFonts w:ascii="Times New Roman" w:hAnsi="Times New Roman" w:cs="Times New Roman"/>
          <w:sz w:val="23"/>
          <w:szCs w:val="23"/>
          <w:lang w:val="ro-RO"/>
        </w:rPr>
        <w:t>n revin Dunării, iar pe râurile</w:t>
      </w:r>
      <w:r w:rsidRPr="007C266E">
        <w:rPr>
          <w:rFonts w:ascii="Times New Roman" w:hAnsi="Times New Roman" w:cs="Times New Roman"/>
          <w:sz w:val="23"/>
          <w:szCs w:val="23"/>
          <w:lang w:val="ro-RO"/>
        </w:rPr>
        <w:t xml:space="preserve"> interioare se poate valorifica un potenţial  cca. 24,9 TWh/an prin centrale cu puteri instalate mai mari de 3,6 MW, iar restul de 4,0 TWh/an în centrale mai mici. Aceste scheme de amenajare au fost proiectate pentru a valorifica potenţialul hidroenergetic la cote ridicate, fiind bazate pe concentrări de căderi şi debite, realizabile prin lucrări de derivare ale cursurilor de apă şi pe instalarea în centrale a unor debite care depăşeau de 3-4 ori debitele modul din secţiunile amenajate, chiar şi în cazul schemelor cu lacuri mici de acumulare, cu un grad de regularizare cel mult zilnic-săptămânal.</w:t>
      </w:r>
    </w:p>
    <w:p w14:paraId="67CDF3BC"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630C5620"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După anul 1990, dar mai ales după anul aderării României la Uniunea Europeană, utilizarea resurselor de apă a trebuit să ţină cont de politicile promovate pentru protecţia mediului. În domeniul hidroenergetic, aceste politici de mediu au avut impact asupra modului în care se poate valorifica potenţialul natural, în principal prin conjugarea a două măsuri: adoptarea unor nivele superioare pentru debitele de servitute/ecologice şi stabilirea arealelor incluse în reţeaua Natura 2000. Practic</w:t>
      </w:r>
      <w:r w:rsidR="00EF5915"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în anul 2018, faţă de anul 1990, s-au diminuat stocurile anuale de apă utile cu circa 20% şi au fost blocate cele mai fezabile amplasamente pentru proiecte noi ca urmare a instituirii arealelor Natura 2000</w:t>
      </w:r>
      <w:r w:rsidR="00EF5915"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care ocupă circa 22,5% din suprafaţa tuturor bazinelor hidrografice. </w:t>
      </w:r>
    </w:p>
    <w:p w14:paraId="6B50F9DE"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C8E973D" w14:textId="77777777" w:rsidR="000E7A5B"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Estimările actuale privind potenţialul tehnico-economic amenajabil, diminuat în urma acestor reglementări pentru protecţia mediului, arată că, faţă de cei 40,5 TWh/an </w:t>
      </w:r>
      <w:r w:rsidR="00EF5915" w:rsidRPr="007C266E">
        <w:rPr>
          <w:rFonts w:ascii="Times New Roman" w:hAnsi="Times New Roman" w:cs="Times New Roman"/>
          <w:sz w:val="23"/>
          <w:szCs w:val="23"/>
          <w:lang w:val="ro-RO"/>
        </w:rPr>
        <w:t xml:space="preserve">energie estimată </w:t>
      </w:r>
      <w:r w:rsidRPr="007C266E">
        <w:rPr>
          <w:rFonts w:ascii="Times New Roman" w:hAnsi="Times New Roman" w:cs="Times New Roman"/>
          <w:sz w:val="23"/>
          <w:szCs w:val="23"/>
          <w:lang w:val="ro-RO"/>
        </w:rPr>
        <w:t xml:space="preserve">în 1990, în anul 2018 potenţialul tehnico-economic </w:t>
      </w:r>
      <w:r w:rsidR="0026232D" w:rsidRPr="007C266E">
        <w:rPr>
          <w:rFonts w:ascii="Times New Roman" w:hAnsi="Times New Roman" w:cs="Times New Roman"/>
          <w:sz w:val="23"/>
          <w:szCs w:val="23"/>
          <w:lang w:val="ro-RO"/>
        </w:rPr>
        <w:t>amenajabil</w:t>
      </w:r>
      <w:r w:rsidRPr="007C266E">
        <w:rPr>
          <w:rFonts w:ascii="Times New Roman" w:hAnsi="Times New Roman" w:cs="Times New Roman"/>
          <w:sz w:val="23"/>
          <w:szCs w:val="23"/>
          <w:lang w:val="ro-RO"/>
        </w:rPr>
        <w:t xml:space="preserve"> s-a redus la circa 27,10 TWh.</w:t>
      </w:r>
    </w:p>
    <w:p w14:paraId="254CADB1"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9B0316D" w14:textId="77777777" w:rsidR="00E75F64"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S.P.E.E.H. Hidroelectrica S.A., </w:t>
      </w:r>
      <w:r w:rsidR="00E75F64" w:rsidRPr="007C266E">
        <w:rPr>
          <w:rFonts w:ascii="Times New Roman" w:hAnsi="Times New Roman" w:cs="Times New Roman"/>
          <w:sz w:val="23"/>
          <w:szCs w:val="23"/>
          <w:lang w:val="ro-RO"/>
        </w:rPr>
        <w:t xml:space="preserve">companie căreia statul i-a concesionat bunurile proprietate publică în domeniul producerii energiei electrice în centrale hidroelectrice în scopul exploatării, reabilitării, modernizării, retehnologizării precum și construirii de noi amenajări hidroenergetice operează centrale care conform documentațiilor tehnice însumează 17,46 TWh/an. </w:t>
      </w:r>
    </w:p>
    <w:p w14:paraId="4764D912" w14:textId="77777777" w:rsidR="00824690" w:rsidRPr="007C266E" w:rsidRDefault="00824690" w:rsidP="009E5804">
      <w:pPr>
        <w:spacing w:after="0" w:line="240" w:lineRule="auto"/>
        <w:jc w:val="both"/>
        <w:rPr>
          <w:rFonts w:ascii="Times New Roman" w:hAnsi="Times New Roman" w:cs="Times New Roman"/>
          <w:sz w:val="23"/>
          <w:szCs w:val="23"/>
          <w:lang w:val="ro-RO"/>
        </w:rPr>
      </w:pPr>
    </w:p>
    <w:p w14:paraId="02E86368"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Aproximativ 0,80 TWh/an este energia de proiect a tuturor microhidrocentralelor deţinute de alţi operatori, în marea lor majoritate privaţi. Aceştia au investit în proiecte hidroenergetice de mică anvergură, în special în perioada 2010-2016, fiind stimulaţi prin </w:t>
      </w:r>
      <w:r w:rsidR="0026232D" w:rsidRPr="007C266E">
        <w:rPr>
          <w:rFonts w:ascii="Times New Roman" w:hAnsi="Times New Roman" w:cs="Times New Roman"/>
          <w:sz w:val="23"/>
          <w:szCs w:val="23"/>
          <w:lang w:val="ro-RO"/>
        </w:rPr>
        <w:t>schema</w:t>
      </w:r>
      <w:r w:rsidRPr="007C266E">
        <w:rPr>
          <w:rFonts w:ascii="Times New Roman" w:hAnsi="Times New Roman" w:cs="Times New Roman"/>
          <w:sz w:val="23"/>
          <w:szCs w:val="23"/>
          <w:lang w:val="ro-RO"/>
        </w:rPr>
        <w:t xml:space="preserve"> de sprijin a Legii 220/2008. </w:t>
      </w:r>
    </w:p>
    <w:p w14:paraId="283A346C"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5BF9CA15"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La nivelul anului 2018, restul de potenţial hidroenergetic tehnic care ar mai putea fi </w:t>
      </w:r>
      <w:r w:rsidR="0026232D" w:rsidRPr="007C266E">
        <w:rPr>
          <w:rFonts w:ascii="Times New Roman" w:hAnsi="Times New Roman" w:cs="Times New Roman"/>
          <w:sz w:val="23"/>
          <w:szCs w:val="23"/>
          <w:lang w:val="ro-RO"/>
        </w:rPr>
        <w:t>amenajat</w:t>
      </w:r>
      <w:r w:rsidRPr="007C266E">
        <w:rPr>
          <w:rFonts w:ascii="Times New Roman" w:hAnsi="Times New Roman" w:cs="Times New Roman"/>
          <w:sz w:val="23"/>
          <w:szCs w:val="23"/>
          <w:lang w:val="ro-RO"/>
        </w:rPr>
        <w:t xml:space="preserve"> în Romania  este apreciat ca fiind de cca. 10,30 TWh/an.</w:t>
      </w:r>
    </w:p>
    <w:p w14:paraId="18CA76FA" w14:textId="77777777" w:rsidR="00A24EAF" w:rsidRPr="007C266E" w:rsidRDefault="00A24EAF" w:rsidP="009E5804">
      <w:pPr>
        <w:spacing w:after="0" w:line="240" w:lineRule="auto"/>
        <w:jc w:val="both"/>
        <w:rPr>
          <w:rFonts w:ascii="Times New Roman" w:hAnsi="Times New Roman" w:cs="Times New Roman"/>
          <w:sz w:val="23"/>
          <w:szCs w:val="23"/>
          <w:lang w:val="ro-RO"/>
        </w:rPr>
      </w:pPr>
    </w:p>
    <w:p w14:paraId="2A430527" w14:textId="77777777" w:rsidR="00A24EAF" w:rsidRPr="007C266E" w:rsidRDefault="00A24EAF"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Evoluția sectorului hidroenergetic pentru perioada 2020-2030 se va realiza în funcție de implementarea unor politici energetice specifice, armonizate cu politicile europene privind protecția mediului.</w:t>
      </w:r>
    </w:p>
    <w:p w14:paraId="682962B6" w14:textId="77777777" w:rsidR="00A24EAF" w:rsidRPr="007C266E" w:rsidRDefault="00A24EAF"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acest sens, având în vedere impactul negativ semnificativ asupra stării ecologice a apelor curgătoare produs de microhidrocentralele cu centrale pe derivație, realizarea de noi proiecte de acest tip nu va beneficia de susținere până în anul 2030.</w:t>
      </w:r>
    </w:p>
    <w:p w14:paraId="16BCCD24" w14:textId="77777777" w:rsidR="00A24EAF" w:rsidRPr="007C266E" w:rsidRDefault="00A24EAF"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Autoritățile competente pentru protecșia mediului și cele responsabile de administrarea apelor, au insituit norme prin care au fost definite și reglementate criteriile de selectare și au fost stabilite cursurile de apă care nu sunt afectate de activități umane și în care este interzisă realizarea de lucrări și activități ce pot afecta starea ecologica a apelor (HG 111/2020).</w:t>
      </w:r>
    </w:p>
    <w:p w14:paraId="64169C91"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5281533F" w14:textId="77777777" w:rsidR="00824690"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Un aspect extrem de important în ceea ce priveşte activitatea investiţională în domeniul hidroenergetic constă în faptul că proiectele hidroenergetice de anvergură începute înainte </w:t>
      </w:r>
      <w:r w:rsidRPr="007C266E">
        <w:rPr>
          <w:rFonts w:ascii="Times New Roman" w:hAnsi="Times New Roman" w:cs="Times New Roman"/>
          <w:sz w:val="23"/>
          <w:szCs w:val="23"/>
          <w:lang w:val="ro-RO"/>
        </w:rPr>
        <w:lastRenderedPageBreak/>
        <w:t xml:space="preserve">de anul 1990 şi nefinalizate până în 2018 au folosinţe complexe. </w:t>
      </w:r>
      <w:r w:rsidR="00A14212" w:rsidRPr="007C266E">
        <w:rPr>
          <w:rFonts w:ascii="Times New Roman" w:hAnsi="Times New Roman" w:cs="Times New Roman"/>
          <w:sz w:val="23"/>
          <w:szCs w:val="23"/>
          <w:lang w:val="ro-RO"/>
        </w:rPr>
        <w:t xml:space="preserve">Pentru finalizarea </w:t>
      </w:r>
      <w:r w:rsidR="0025001D" w:rsidRPr="007C266E">
        <w:rPr>
          <w:rFonts w:ascii="Times New Roman" w:hAnsi="Times New Roman" w:cs="Times New Roman"/>
          <w:sz w:val="23"/>
          <w:szCs w:val="23"/>
          <w:lang w:val="ro-RO"/>
        </w:rPr>
        <w:t xml:space="preserve">proiectelor </w:t>
      </w:r>
      <w:r w:rsidR="00A14212" w:rsidRPr="007C266E">
        <w:rPr>
          <w:rFonts w:ascii="Times New Roman" w:hAnsi="Times New Roman" w:cs="Times New Roman"/>
          <w:sz w:val="23"/>
          <w:szCs w:val="23"/>
          <w:lang w:val="ro-RO"/>
        </w:rPr>
        <w:t>sunt necesare analize tehnico-economice complexe care vor sta la baza deciziilor de realizare a acestora.</w:t>
      </w:r>
    </w:p>
    <w:p w14:paraId="4663794B" w14:textId="77777777" w:rsidR="00106C28" w:rsidRPr="007C266E" w:rsidRDefault="00106C28" w:rsidP="009E5804">
      <w:pPr>
        <w:spacing w:after="0" w:line="240" w:lineRule="auto"/>
        <w:jc w:val="both"/>
        <w:rPr>
          <w:rFonts w:ascii="Times New Roman" w:hAnsi="Times New Roman" w:cs="Times New Roman"/>
          <w:sz w:val="23"/>
          <w:szCs w:val="23"/>
          <w:lang w:val="ro-RO"/>
        </w:rPr>
      </w:pPr>
    </w:p>
    <w:p w14:paraId="7131112D" w14:textId="77777777" w:rsidR="00CA65BF" w:rsidRPr="007C266E" w:rsidRDefault="00CA65BF" w:rsidP="00106C2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Reglementarea modului de determinare și de calcul a debitului ecologic, prin stabilirea unor stand</w:t>
      </w:r>
      <w:r w:rsidR="00E81C67"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rde mai ridicate au fost stabilite prin HG 148/2020.</w:t>
      </w:r>
    </w:p>
    <w:p w14:paraId="026CF0E0" w14:textId="77777777" w:rsidR="00106C28" w:rsidRPr="007C266E" w:rsidRDefault="00CA65BF" w:rsidP="00106C28">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acest sens, p</w:t>
      </w:r>
      <w:r w:rsidR="00106C28" w:rsidRPr="007C266E">
        <w:rPr>
          <w:rFonts w:ascii="Times New Roman" w:hAnsi="Times New Roman" w:cs="Times New Roman"/>
          <w:sz w:val="23"/>
          <w:szCs w:val="23"/>
          <w:lang w:val="ro-RO"/>
        </w:rPr>
        <w:t xml:space="preserve">entru amenajările hidroenergetice mari, </w:t>
      </w:r>
      <w:r w:rsidRPr="007C266E">
        <w:rPr>
          <w:rFonts w:ascii="Times New Roman" w:hAnsi="Times New Roman" w:cs="Times New Roman"/>
          <w:sz w:val="23"/>
          <w:szCs w:val="23"/>
          <w:lang w:val="ro-RO"/>
        </w:rPr>
        <w:t xml:space="preserve">tranziția </w:t>
      </w:r>
      <w:r w:rsidR="00106C28" w:rsidRPr="007C266E">
        <w:rPr>
          <w:rFonts w:ascii="Times New Roman" w:hAnsi="Times New Roman" w:cs="Times New Roman"/>
          <w:sz w:val="23"/>
          <w:szCs w:val="23"/>
          <w:lang w:val="ro-RO"/>
        </w:rPr>
        <w:t>se va realiza gradual până în anul 2030, prin trei etape de ajustare, pentru a se ajunge la conformarea cu stadardele medii europene în domeniu</w:t>
      </w:r>
      <w:r w:rsidRPr="007C266E">
        <w:rPr>
          <w:rFonts w:ascii="Times New Roman" w:hAnsi="Times New Roman" w:cs="Times New Roman"/>
          <w:sz w:val="23"/>
          <w:szCs w:val="23"/>
          <w:lang w:val="ro-RO"/>
        </w:rPr>
        <w:t>, iar p</w:t>
      </w:r>
      <w:r w:rsidR="00106C28" w:rsidRPr="007C266E">
        <w:rPr>
          <w:rFonts w:ascii="Times New Roman" w:hAnsi="Times New Roman" w:cs="Times New Roman"/>
          <w:sz w:val="23"/>
          <w:szCs w:val="23"/>
          <w:lang w:val="ro-RO"/>
        </w:rPr>
        <w:t>entru amenajările hidroenergetice de mică anvergură, conformarea cu standardele medii europene se va realiza până în anul 2025.</w:t>
      </w:r>
    </w:p>
    <w:p w14:paraId="286168DD" w14:textId="77777777" w:rsidR="00A14212" w:rsidRPr="007C266E" w:rsidRDefault="00A14212" w:rsidP="009E5804">
      <w:pPr>
        <w:spacing w:after="0" w:line="240" w:lineRule="auto"/>
        <w:jc w:val="both"/>
        <w:rPr>
          <w:rFonts w:ascii="Times New Roman" w:hAnsi="Times New Roman" w:cs="Times New Roman"/>
          <w:sz w:val="23"/>
          <w:szCs w:val="23"/>
          <w:lang w:val="ro-RO"/>
        </w:rPr>
      </w:pPr>
    </w:p>
    <w:p w14:paraId="3C00B590"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E</w:t>
      </w:r>
      <w:r w:rsidR="00824690" w:rsidRPr="007C266E">
        <w:rPr>
          <w:rFonts w:ascii="Times New Roman" w:hAnsi="Times New Roman" w:cs="Times New Roman"/>
          <w:b/>
          <w:sz w:val="23"/>
          <w:szCs w:val="23"/>
          <w:lang w:val="ro-RO"/>
        </w:rPr>
        <w:t>nergia eoliană</w:t>
      </w:r>
    </w:p>
    <w:p w14:paraId="0242268A"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3ECD2BB6"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Prin poziţia sa geografică România se află la lim</w:t>
      </w:r>
      <w:r w:rsidR="00824690" w:rsidRPr="007C266E">
        <w:rPr>
          <w:rFonts w:ascii="Times New Roman" w:hAnsi="Times New Roman" w:cs="Times New Roman"/>
          <w:sz w:val="23"/>
          <w:szCs w:val="23"/>
          <w:lang w:val="ro-RO"/>
        </w:rPr>
        <w:t>i</w:t>
      </w:r>
      <w:r w:rsidRPr="007C266E">
        <w:rPr>
          <w:rFonts w:ascii="Times New Roman" w:hAnsi="Times New Roman" w:cs="Times New Roman"/>
          <w:sz w:val="23"/>
          <w:szCs w:val="23"/>
          <w:lang w:val="ro-RO"/>
        </w:rPr>
        <w:t>ta estică a circulaţiei atmosferice generată în bazinul Atlanticului de Nord, care se manifestă cu o intensitate suficient de mare pentru a permite valorificarea energetică doar la altitudini mari pe crestele Carpaţilor. Circulaţia atmosferică generată în zona Mării Negre şi a Câmpiei Ruse, î</w:t>
      </w:r>
      <w:r w:rsidR="00EF5915" w:rsidRPr="007C266E">
        <w:rPr>
          <w:rFonts w:ascii="Times New Roman" w:hAnsi="Times New Roman" w:cs="Times New Roman"/>
          <w:sz w:val="23"/>
          <w:szCs w:val="23"/>
          <w:lang w:val="ro-RO"/>
        </w:rPr>
        <w:t>n conjunctură cu cea nord-</w:t>
      </w:r>
      <w:r w:rsidRPr="007C266E">
        <w:rPr>
          <w:rFonts w:ascii="Times New Roman" w:hAnsi="Times New Roman" w:cs="Times New Roman"/>
          <w:sz w:val="23"/>
          <w:szCs w:val="23"/>
          <w:lang w:val="ro-RO"/>
        </w:rPr>
        <w:t xml:space="preserve">atlantică oferă posibilităţi de valorificare energetică în arealul Dobrogei, </w:t>
      </w:r>
      <w:r w:rsidR="0026232D" w:rsidRPr="007C266E">
        <w:rPr>
          <w:rFonts w:ascii="Times New Roman" w:hAnsi="Times New Roman" w:cs="Times New Roman"/>
          <w:sz w:val="23"/>
          <w:szCs w:val="23"/>
          <w:lang w:val="ro-RO"/>
        </w:rPr>
        <w:t>Bărăganului</w:t>
      </w:r>
      <w:r w:rsidRPr="007C266E">
        <w:rPr>
          <w:rFonts w:ascii="Times New Roman" w:hAnsi="Times New Roman" w:cs="Times New Roman"/>
          <w:sz w:val="23"/>
          <w:szCs w:val="23"/>
          <w:lang w:val="ro-RO"/>
        </w:rPr>
        <w:t xml:space="preserve"> şi al Moldovei. De asemenea, pe areale restrânse se manifesta circulaţii atmosferice locale care permit valorificarea economică prin proiecte de parcuri eoliene de anvergură redusă.</w:t>
      </w:r>
    </w:p>
    <w:p w14:paraId="6012CC12"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C2BAF0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Un st</w:t>
      </w:r>
      <w:r w:rsidR="00EF5915" w:rsidRPr="007C266E">
        <w:rPr>
          <w:rFonts w:ascii="Times New Roman" w:hAnsi="Times New Roman" w:cs="Times New Roman"/>
          <w:sz w:val="23"/>
          <w:szCs w:val="23"/>
          <w:lang w:val="ro-RO"/>
        </w:rPr>
        <w:t>udiu sistematic de inventariere</w:t>
      </w:r>
      <w:r w:rsidRPr="007C266E">
        <w:rPr>
          <w:rFonts w:ascii="Times New Roman" w:hAnsi="Times New Roman" w:cs="Times New Roman"/>
          <w:sz w:val="23"/>
          <w:szCs w:val="23"/>
          <w:lang w:val="ro-RO"/>
        </w:rPr>
        <w:t xml:space="preserve"> a potenţialului eolian teoretic pentru întreg teritoriul naţional s-a realizat de către ICEMENERG în anul 2006 şi a oferit o valoare a potenţialului de aproximativ 23 TWh/an prin instalarea unor capacităţi cu puterea totală de  </w:t>
      </w:r>
      <w:r w:rsidR="00EF5915" w:rsidRPr="007C266E">
        <w:rPr>
          <w:rFonts w:ascii="Times New Roman" w:hAnsi="Times New Roman" w:cs="Times New Roman"/>
          <w:sz w:val="23"/>
          <w:szCs w:val="23"/>
          <w:lang w:val="ro-RO"/>
        </w:rPr>
        <w:t>cca. 14.</w:t>
      </w:r>
      <w:r w:rsidRPr="007C266E">
        <w:rPr>
          <w:rFonts w:ascii="Times New Roman" w:hAnsi="Times New Roman" w:cs="Times New Roman"/>
          <w:sz w:val="23"/>
          <w:szCs w:val="23"/>
          <w:lang w:val="ro-RO"/>
        </w:rPr>
        <w:t xml:space="preserve">000 MW. Potenţialul </w:t>
      </w:r>
      <w:r w:rsidR="00AA1D2A" w:rsidRPr="007C266E">
        <w:rPr>
          <w:rFonts w:ascii="Times New Roman" w:hAnsi="Times New Roman" w:cs="Times New Roman"/>
          <w:sz w:val="23"/>
          <w:szCs w:val="23"/>
          <w:lang w:val="ro-RO"/>
        </w:rPr>
        <w:t xml:space="preserve">teoretic </w:t>
      </w:r>
      <w:r w:rsidRPr="007C266E">
        <w:rPr>
          <w:rFonts w:ascii="Times New Roman" w:hAnsi="Times New Roman" w:cs="Times New Roman"/>
          <w:sz w:val="23"/>
          <w:szCs w:val="23"/>
          <w:lang w:val="ro-RO"/>
        </w:rPr>
        <w:t xml:space="preserve">eolian, determinat în anul 2006, trebuie ajustat ţinând cont </w:t>
      </w:r>
      <w:r w:rsidR="00AA1D2A" w:rsidRPr="007C266E">
        <w:rPr>
          <w:rFonts w:ascii="Times New Roman" w:hAnsi="Times New Roman" w:cs="Times New Roman"/>
          <w:sz w:val="23"/>
          <w:szCs w:val="23"/>
          <w:lang w:val="ro-RO"/>
        </w:rPr>
        <w:t xml:space="preserve">de potențialul tehnico - economic și </w:t>
      </w:r>
      <w:r w:rsidRPr="007C266E">
        <w:rPr>
          <w:rFonts w:ascii="Times New Roman" w:hAnsi="Times New Roman" w:cs="Times New Roman"/>
          <w:sz w:val="23"/>
          <w:szCs w:val="23"/>
          <w:lang w:val="ro-RO"/>
        </w:rPr>
        <w:t xml:space="preserve">de instituirea ulterioară a ariilor protejate Natura 2000 precum şi de culoarele de zbor pentru populaţiile de păsări </w:t>
      </w:r>
      <w:r w:rsidRPr="007C266E">
        <w:rPr>
          <w:rFonts w:ascii="Times New Roman" w:hAnsi="Times New Roman" w:cs="Times New Roman"/>
          <w:sz w:val="23"/>
          <w:szCs w:val="23"/>
          <w:lang w:val="ro-RO"/>
        </w:rPr>
        <w:lastRenderedPageBreak/>
        <w:t>sălbatice, elemente care diminuează opțiunile de dezvoltare a unor noi proiecte în regiunea Dobrogei.</w:t>
      </w:r>
    </w:p>
    <w:p w14:paraId="0817E7C7" w14:textId="77777777" w:rsidR="00035B45" w:rsidRPr="007C266E" w:rsidRDefault="00035B45" w:rsidP="009E5804">
      <w:pPr>
        <w:spacing w:after="0" w:line="240" w:lineRule="auto"/>
        <w:jc w:val="both"/>
        <w:rPr>
          <w:rFonts w:ascii="Times New Roman" w:hAnsi="Times New Roman" w:cs="Times New Roman"/>
          <w:sz w:val="23"/>
          <w:szCs w:val="23"/>
          <w:lang w:val="ro-RO"/>
        </w:rPr>
      </w:pPr>
    </w:p>
    <w:p w14:paraId="42E73766"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Pentru o mai bună apreciere a </w:t>
      </w:r>
      <w:r w:rsidR="0026232D" w:rsidRPr="007C266E">
        <w:rPr>
          <w:rFonts w:ascii="Times New Roman" w:hAnsi="Times New Roman" w:cs="Times New Roman"/>
          <w:sz w:val="23"/>
          <w:szCs w:val="23"/>
          <w:lang w:val="ro-RO"/>
        </w:rPr>
        <w:t>potențialului</w:t>
      </w:r>
      <w:r w:rsidRPr="007C266E">
        <w:rPr>
          <w:rFonts w:ascii="Times New Roman" w:hAnsi="Times New Roman" w:cs="Times New Roman"/>
          <w:sz w:val="23"/>
          <w:szCs w:val="23"/>
          <w:lang w:val="ro-RO"/>
        </w:rPr>
        <w:t xml:space="preserve"> eolian tehnic </w:t>
      </w:r>
      <w:r w:rsidR="0026232D" w:rsidRPr="007C266E">
        <w:rPr>
          <w:rFonts w:ascii="Times New Roman" w:hAnsi="Times New Roman" w:cs="Times New Roman"/>
          <w:sz w:val="23"/>
          <w:szCs w:val="23"/>
          <w:lang w:val="ro-RO"/>
        </w:rPr>
        <w:t>amenajabil</w:t>
      </w:r>
      <w:r w:rsidRPr="007C266E">
        <w:rPr>
          <w:rFonts w:ascii="Times New Roman" w:hAnsi="Times New Roman" w:cs="Times New Roman"/>
          <w:sz w:val="23"/>
          <w:szCs w:val="23"/>
          <w:lang w:val="ro-RO"/>
        </w:rPr>
        <w:t>, pot fi luate în considerare variantele studiate în cadrul proiectelor de parcuri eoliene dezvoltate în perioada anilor 2009 – 2016 prin care practic s-au cercetat  toate nişele disponibile pentru astfel de dezvoltări prin considerarea limitărilor de mediu actuale. Proiectele analizate în perioada de timp menţionată însumează o putere totală de circa 5</w:t>
      </w:r>
      <w:r w:rsidR="00EF5915"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280 MW având o energie de proiect de 10,23 TWh/an. </w:t>
      </w:r>
      <w:r w:rsidR="0035232A" w:rsidRPr="007C266E">
        <w:rPr>
          <w:rFonts w:ascii="Times New Roman" w:hAnsi="Times New Roman" w:cs="Times New Roman"/>
          <w:sz w:val="23"/>
          <w:szCs w:val="23"/>
          <w:lang w:val="ro-RO"/>
        </w:rPr>
        <w:t>Din toate aceste proiecte studiate, la sfârşitul anului 2019 erau finalizate proiecte însumând o putere de 2.961 MW</w:t>
      </w:r>
      <w:r w:rsidR="0035232A" w:rsidRPr="007C266E" w:rsidDel="0035232A">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 xml:space="preserve">şi care însumează o energie de proiect de circa 6,21 TWh/an. În anul </w:t>
      </w:r>
      <w:r w:rsidR="00CD1D33" w:rsidRPr="007C266E">
        <w:rPr>
          <w:rFonts w:ascii="Times New Roman" w:hAnsi="Times New Roman" w:cs="Times New Roman"/>
          <w:sz w:val="23"/>
          <w:szCs w:val="23"/>
          <w:lang w:val="ro-RO"/>
        </w:rPr>
        <w:t>2019</w:t>
      </w:r>
      <w:r w:rsidRPr="007C266E">
        <w:rPr>
          <w:rFonts w:ascii="Times New Roman" w:hAnsi="Times New Roman" w:cs="Times New Roman"/>
          <w:sz w:val="23"/>
          <w:szCs w:val="23"/>
          <w:lang w:val="ro-RO"/>
        </w:rPr>
        <w:t>, ţinând cont de condiţiile specifice ale anului respectiv, centralele eoliene din România au produs</w:t>
      </w:r>
      <w:r w:rsidR="00CD1D33" w:rsidRPr="007C266E">
        <w:rPr>
          <w:rFonts w:ascii="Times New Roman" w:hAnsi="Times New Roman" w:cs="Times New Roman"/>
          <w:sz w:val="23"/>
          <w:szCs w:val="23"/>
          <w:lang w:val="ro-RO"/>
        </w:rPr>
        <w:t xml:space="preserve"> 6,</w:t>
      </w:r>
      <w:r w:rsidR="00BA670C" w:rsidRPr="007C266E">
        <w:rPr>
          <w:rFonts w:ascii="Times New Roman" w:hAnsi="Times New Roman" w:cs="Times New Roman"/>
          <w:sz w:val="23"/>
          <w:szCs w:val="23"/>
          <w:lang w:val="ro-RO"/>
        </w:rPr>
        <w:t>83</w:t>
      </w:r>
      <w:r w:rsidR="00CD1D33"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TWh, valoare care se înscrie în jurul valorii energiei de proiect. Investiţiile pentru dezvoltarea parcurilor eoliene în România au fost încurajate în perioada 2009 – 2016 printr-o schemă de sprijin utilizând acordarea de certificate verzi, conform Legii 220/2008</w:t>
      </w:r>
      <w:r w:rsidR="00E01CDC" w:rsidRPr="007C266E">
        <w:rPr>
          <w:rFonts w:ascii="Times New Roman" w:hAnsi="Times New Roman" w:cs="Times New Roman"/>
          <w:sz w:val="23"/>
          <w:szCs w:val="23"/>
          <w:lang w:val="ro-RO"/>
        </w:rPr>
        <w:t>.</w:t>
      </w:r>
    </w:p>
    <w:p w14:paraId="3B452E4E"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680E2F8A" w14:textId="77777777" w:rsidR="00E23F20" w:rsidRPr="007C266E" w:rsidRDefault="00885CE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Din perspectiva creșterii utilizării gazului natural în producția de energie electrică, gradul de integrare al surselor regenerabile de energie este de așteptat să crească. </w:t>
      </w:r>
    </w:p>
    <w:p w14:paraId="0342ACBC" w14:textId="77777777" w:rsidR="008D11F1" w:rsidRPr="007C266E" w:rsidRDefault="008D11F1" w:rsidP="009E5804">
      <w:pPr>
        <w:spacing w:after="0" w:line="240" w:lineRule="auto"/>
        <w:jc w:val="both"/>
        <w:rPr>
          <w:rFonts w:ascii="Times New Roman" w:hAnsi="Times New Roman" w:cs="Times New Roman"/>
          <w:sz w:val="23"/>
          <w:szCs w:val="23"/>
          <w:lang w:val="ro-RO"/>
        </w:rPr>
      </w:pPr>
    </w:p>
    <w:p w14:paraId="2FE9557B"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E</w:t>
      </w:r>
      <w:r w:rsidR="00824690" w:rsidRPr="007C266E">
        <w:rPr>
          <w:rFonts w:ascii="Times New Roman" w:hAnsi="Times New Roman" w:cs="Times New Roman"/>
          <w:b/>
          <w:sz w:val="23"/>
          <w:szCs w:val="23"/>
          <w:lang w:val="ro-RO"/>
        </w:rPr>
        <w:t>nergia solară</w:t>
      </w:r>
    </w:p>
    <w:p w14:paraId="25811778"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646E2185"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Energia solară poate fi valorificată în scop energetic fie sub formă de căldură, care poate fi folosită pentru prepararea apei calde menajere şi încălzirea clădirilor, fie pentru producţia de energie electrică în sisteme fotovoltaice. Repartiţia energiei solare pe teritoriul naţional este relativ uniformă cu valori cuprinse între 1</w:t>
      </w:r>
      <w:r w:rsidR="00EF5915"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100 şi 1</w:t>
      </w:r>
      <w:r w:rsidR="00EF5915"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450 kWh/mp/an. Valorile minime se înregistrează în zonele depresionare, iar valorile maxime în Dobrogea, estul </w:t>
      </w:r>
      <w:r w:rsidR="0026232D" w:rsidRPr="007C266E">
        <w:rPr>
          <w:rFonts w:ascii="Times New Roman" w:hAnsi="Times New Roman" w:cs="Times New Roman"/>
          <w:sz w:val="23"/>
          <w:szCs w:val="23"/>
          <w:lang w:val="ro-RO"/>
        </w:rPr>
        <w:t>Bărăganului</w:t>
      </w:r>
      <w:r w:rsidRPr="007C266E">
        <w:rPr>
          <w:rFonts w:ascii="Times New Roman" w:hAnsi="Times New Roman" w:cs="Times New Roman"/>
          <w:sz w:val="23"/>
          <w:szCs w:val="23"/>
          <w:lang w:val="ro-RO"/>
        </w:rPr>
        <w:t xml:space="preserve"> şi sudul Olteniei. </w:t>
      </w:r>
    </w:p>
    <w:p w14:paraId="7008DDBB"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F2F36C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Corelat cu modul de dezvoltare a locuinţelor sau a altor clădiri din interiorul localităţilor, conform studiului ICEMENERG 2006, ar putea fi utilizaţi captat</w:t>
      </w:r>
      <w:r w:rsidR="00EF5915" w:rsidRPr="007C266E">
        <w:rPr>
          <w:rFonts w:ascii="Times New Roman" w:hAnsi="Times New Roman" w:cs="Times New Roman"/>
          <w:sz w:val="23"/>
          <w:szCs w:val="23"/>
          <w:lang w:val="ro-RO"/>
        </w:rPr>
        <w:t>ori solari cu o suprafaţă de 34.</w:t>
      </w:r>
      <w:r w:rsidRPr="007C266E">
        <w:rPr>
          <w:rFonts w:ascii="Times New Roman" w:hAnsi="Times New Roman" w:cs="Times New Roman"/>
          <w:sz w:val="23"/>
          <w:szCs w:val="23"/>
          <w:lang w:val="ro-RO"/>
        </w:rPr>
        <w:t>000 mp care să producă o energie de 61</w:t>
      </w:r>
      <w:r w:rsidR="00EF5915"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200 TJ/an. Maturizarea tehnologiilor de captare şi experienţa utilizatorilor actuali din România cond</w:t>
      </w:r>
      <w:r w:rsidR="00455428" w:rsidRPr="007C266E">
        <w:rPr>
          <w:rFonts w:ascii="Times New Roman" w:hAnsi="Times New Roman" w:cs="Times New Roman"/>
          <w:sz w:val="23"/>
          <w:szCs w:val="23"/>
          <w:lang w:val="ro-RO"/>
        </w:rPr>
        <w:t xml:space="preserve">uc în prezent la ideea că  </w:t>
      </w:r>
      <w:r w:rsidRPr="007C266E">
        <w:rPr>
          <w:rFonts w:ascii="Times New Roman" w:hAnsi="Times New Roman" w:cs="Times New Roman"/>
          <w:sz w:val="23"/>
          <w:szCs w:val="23"/>
          <w:lang w:val="ro-RO"/>
        </w:rPr>
        <w:t xml:space="preserve">această utilizare poate fi extinsă pe scară largă în România, pe perioada întregului an, cel puţin pentru prepararea apei calde </w:t>
      </w:r>
      <w:r w:rsidR="0026232D" w:rsidRPr="007C266E">
        <w:rPr>
          <w:rFonts w:ascii="Times New Roman" w:hAnsi="Times New Roman" w:cs="Times New Roman"/>
          <w:sz w:val="23"/>
          <w:szCs w:val="23"/>
          <w:lang w:val="ro-RO"/>
        </w:rPr>
        <w:t>menajere</w:t>
      </w:r>
      <w:r w:rsidRPr="007C266E">
        <w:rPr>
          <w:rFonts w:ascii="Times New Roman" w:hAnsi="Times New Roman" w:cs="Times New Roman"/>
          <w:sz w:val="23"/>
          <w:szCs w:val="23"/>
          <w:lang w:val="ro-RO"/>
        </w:rPr>
        <w:t>.</w:t>
      </w:r>
    </w:p>
    <w:p w14:paraId="71558D91"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A24D7A0"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Valorificarea potenţialului solar în scopul producerii de energie electrică prin utilizarea panourilor fotovoltaice permite, conform </w:t>
      </w:r>
      <w:r w:rsidR="0026232D" w:rsidRPr="007C266E">
        <w:rPr>
          <w:rFonts w:ascii="Times New Roman" w:hAnsi="Times New Roman" w:cs="Times New Roman"/>
          <w:sz w:val="23"/>
          <w:szCs w:val="23"/>
          <w:lang w:val="ro-RO"/>
        </w:rPr>
        <w:t>aceluiași</w:t>
      </w:r>
      <w:r w:rsidRPr="007C266E">
        <w:rPr>
          <w:rFonts w:ascii="Times New Roman" w:hAnsi="Times New Roman" w:cs="Times New Roman"/>
          <w:sz w:val="23"/>
          <w:szCs w:val="23"/>
          <w:lang w:val="ro-RO"/>
        </w:rPr>
        <w:t xml:space="preserve"> studiu, instalarea unei capacităţi totale de 4</w:t>
      </w:r>
      <w:r w:rsidR="00EF5915"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000 MW şi producerea unei energii anuale de 4,8 TWh. La sfârşitul anului 2016, erau instalate în România parcuri solare cu puterea totală de 1</w:t>
      </w:r>
      <w:r w:rsidR="00EF5915"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360 MW  care, conform energiilor de proiect, produc 1,91 TWh/an. În anul </w:t>
      </w:r>
      <w:r w:rsidR="00CD1D33" w:rsidRPr="007C266E">
        <w:rPr>
          <w:rFonts w:ascii="Times New Roman" w:hAnsi="Times New Roman" w:cs="Times New Roman"/>
          <w:sz w:val="23"/>
          <w:szCs w:val="23"/>
          <w:lang w:val="ro-RO"/>
        </w:rPr>
        <w:t>2019</w:t>
      </w:r>
      <w:r w:rsidRPr="007C266E">
        <w:rPr>
          <w:rFonts w:ascii="Times New Roman" w:hAnsi="Times New Roman" w:cs="Times New Roman"/>
          <w:sz w:val="23"/>
          <w:szCs w:val="23"/>
          <w:lang w:val="ro-RO"/>
        </w:rPr>
        <w:t xml:space="preserve">, parcurile fotovoltaice din România au produs </w:t>
      </w:r>
      <w:r w:rsidR="00BA670C" w:rsidRPr="007C266E">
        <w:rPr>
          <w:rFonts w:ascii="Times New Roman" w:hAnsi="Times New Roman" w:cs="Times New Roman"/>
          <w:sz w:val="23"/>
          <w:szCs w:val="23"/>
          <w:lang w:val="ro-RO"/>
        </w:rPr>
        <w:t xml:space="preserve"> 1,40 </w:t>
      </w:r>
      <w:r w:rsidRPr="007C266E">
        <w:rPr>
          <w:rFonts w:ascii="Times New Roman" w:hAnsi="Times New Roman" w:cs="Times New Roman"/>
          <w:sz w:val="23"/>
          <w:szCs w:val="23"/>
          <w:lang w:val="ro-RO"/>
        </w:rPr>
        <w:t>TWh. Construirea de  parcuri fotovoltaice a beneficiat  în perioada 2009-2016 de schemă de sprijin, conform Legii 220/2008.</w:t>
      </w:r>
    </w:p>
    <w:p w14:paraId="72712150"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Instituirea arealelor protejate Natura 2000, precum şi restricţionarea dezvoltării parcurilor fotovoltaice pe suprafeţe de teren agricole, limitează opţiunile privind instalarea unor noi parcuri fotovoltaice de mare dimensiune doar pe terenurile degradate sau neproductive. </w:t>
      </w:r>
    </w:p>
    <w:p w14:paraId="7917F491" w14:textId="77777777" w:rsidR="00455428" w:rsidRPr="007C266E" w:rsidRDefault="00455428" w:rsidP="009E5804">
      <w:pPr>
        <w:spacing w:after="0" w:line="240" w:lineRule="auto"/>
        <w:jc w:val="both"/>
        <w:rPr>
          <w:rFonts w:ascii="Times New Roman" w:hAnsi="Times New Roman" w:cs="Times New Roman"/>
          <w:sz w:val="23"/>
          <w:szCs w:val="23"/>
          <w:lang w:val="ro-RO"/>
        </w:rPr>
      </w:pPr>
    </w:p>
    <w:p w14:paraId="270E5E48" w14:textId="77777777" w:rsidR="00954AF4" w:rsidRPr="007C266E" w:rsidRDefault="00954AF4"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vederea utilizării potențialului disponibil pentru dezvoltarea surselor fotovoltaice, este necesar ca sistemul energetic național să fie modernizat pentru a putea prelua variațiile de injecție de putere generate de sursele fotovoltaice, cu sisteme de echilibrare și stocare dimensionate corespunzător.</w:t>
      </w:r>
    </w:p>
    <w:p w14:paraId="6D43B084" w14:textId="77777777" w:rsidR="00750CF6" w:rsidRPr="007C266E" w:rsidRDefault="00750CF6" w:rsidP="009E5804">
      <w:pPr>
        <w:spacing w:after="0" w:line="240" w:lineRule="auto"/>
        <w:jc w:val="both"/>
        <w:rPr>
          <w:rFonts w:ascii="Times New Roman" w:hAnsi="Times New Roman" w:cs="Times New Roman"/>
          <w:sz w:val="23"/>
          <w:szCs w:val="23"/>
          <w:lang w:val="ro-RO"/>
        </w:rPr>
      </w:pPr>
    </w:p>
    <w:p w14:paraId="58D7B947" w14:textId="77777777" w:rsidR="00C43C61" w:rsidRPr="007C266E" w:rsidRDefault="00980BC0"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Biomasă</w:t>
      </w:r>
      <w:r w:rsidR="00824690" w:rsidRPr="007C266E">
        <w:rPr>
          <w:rFonts w:ascii="Times New Roman" w:hAnsi="Times New Roman" w:cs="Times New Roman"/>
          <w:b/>
          <w:sz w:val="23"/>
          <w:szCs w:val="23"/>
          <w:lang w:val="ro-RO"/>
        </w:rPr>
        <w:t>, biolichide, biogaz, deşeuri şi gaze de fermentare a deşeurilor şi nămolurilor</w:t>
      </w:r>
    </w:p>
    <w:p w14:paraId="66EBC669"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E27A061"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Potenţialul energetic al </w:t>
      </w:r>
      <w:r w:rsidR="0058503E" w:rsidRPr="007C266E">
        <w:rPr>
          <w:rFonts w:ascii="Times New Roman" w:hAnsi="Times New Roman" w:cs="Times New Roman"/>
          <w:sz w:val="23"/>
          <w:szCs w:val="23"/>
          <w:lang w:val="ro-RO"/>
        </w:rPr>
        <w:t>biomasei</w:t>
      </w:r>
      <w:r w:rsidRPr="007C266E">
        <w:rPr>
          <w:rFonts w:ascii="Times New Roman" w:hAnsi="Times New Roman" w:cs="Times New Roman"/>
          <w:sz w:val="23"/>
          <w:szCs w:val="23"/>
          <w:lang w:val="ro-RO"/>
        </w:rPr>
        <w:t xml:space="preserve"> </w:t>
      </w:r>
      <w:r w:rsidR="00EF5915" w:rsidRPr="007C266E">
        <w:rPr>
          <w:rFonts w:ascii="Times New Roman" w:hAnsi="Times New Roman" w:cs="Times New Roman"/>
          <w:sz w:val="23"/>
          <w:szCs w:val="23"/>
          <w:lang w:val="ro-RO"/>
        </w:rPr>
        <w:t>este evaluat la un total de 318.</w:t>
      </w:r>
      <w:r w:rsidRPr="007C266E">
        <w:rPr>
          <w:rFonts w:ascii="Times New Roman" w:hAnsi="Times New Roman" w:cs="Times New Roman"/>
          <w:sz w:val="23"/>
          <w:szCs w:val="23"/>
          <w:lang w:val="ro-RO"/>
        </w:rPr>
        <w:t>000 TJ/an, având un echivalent de 7,6 milioane tep.</w:t>
      </w:r>
    </w:p>
    <w:p w14:paraId="51409B34"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368EFE5F" w14:textId="77777777" w:rsidR="00824690"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Datele cu privire la producția de biomasă solidă prezintă un grad mare de incertitudine (circa 20%), estimarea centrală fiind de 4</w:t>
      </w:r>
      <w:r w:rsidR="0026448D" w:rsidRPr="007C266E">
        <w:rPr>
          <w:rFonts w:ascii="Times New Roman" w:hAnsi="Times New Roman" w:cs="Times New Roman"/>
          <w:sz w:val="23"/>
          <w:szCs w:val="23"/>
          <w:lang w:val="ro-RO"/>
        </w:rPr>
        <w:t>1</w:t>
      </w:r>
      <w:r w:rsidRPr="007C266E">
        <w:rPr>
          <w:rFonts w:ascii="Times New Roman" w:hAnsi="Times New Roman" w:cs="Times New Roman"/>
          <w:sz w:val="23"/>
          <w:szCs w:val="23"/>
          <w:lang w:val="ro-RO"/>
        </w:rPr>
        <w:t xml:space="preserve"> TWh în 201</w:t>
      </w:r>
      <w:r w:rsidR="0026448D" w:rsidRPr="007C266E">
        <w:rPr>
          <w:rFonts w:ascii="Times New Roman" w:hAnsi="Times New Roman" w:cs="Times New Roman"/>
          <w:sz w:val="23"/>
          <w:szCs w:val="23"/>
          <w:lang w:val="ro-RO"/>
        </w:rPr>
        <w:t>8</w:t>
      </w:r>
      <w:r w:rsidRPr="007C266E">
        <w:rPr>
          <w:rFonts w:ascii="Times New Roman" w:hAnsi="Times New Roman" w:cs="Times New Roman"/>
          <w:sz w:val="23"/>
          <w:szCs w:val="23"/>
          <w:lang w:val="ro-RO"/>
        </w:rPr>
        <w:t xml:space="preserve">. </w:t>
      </w:r>
    </w:p>
    <w:p w14:paraId="26C14C3E" w14:textId="77777777" w:rsidR="00824690" w:rsidRPr="007C266E" w:rsidRDefault="00824690" w:rsidP="009E5804">
      <w:pPr>
        <w:spacing w:after="0" w:line="240" w:lineRule="auto"/>
        <w:jc w:val="both"/>
        <w:rPr>
          <w:rFonts w:ascii="Times New Roman" w:hAnsi="Times New Roman" w:cs="Times New Roman"/>
          <w:sz w:val="23"/>
          <w:szCs w:val="23"/>
          <w:lang w:val="ro-RO"/>
        </w:rPr>
      </w:pPr>
    </w:p>
    <w:p w14:paraId="6096B62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Principala formă a biomasei cu destinație energetică produsă în România este lemnul de foc, ars în sobe cu eficienţă redusă. </w:t>
      </w:r>
      <w:r w:rsidR="009B4693" w:rsidRPr="007C266E">
        <w:rPr>
          <w:rFonts w:ascii="Times New Roman" w:hAnsi="Times New Roman" w:cs="Times New Roman"/>
          <w:sz w:val="23"/>
          <w:szCs w:val="23"/>
          <w:lang w:val="ro-RO"/>
        </w:rPr>
        <w:t>În anul 2018, producţia internă de biomasă lemnoasă (lemne de foc, inclusiv biomasă) a fost de 14.991mii tone, respectiv 3652ktep, fiind superioară consumului intern (14.391mii tone, respectiv 3506 ktep)</w:t>
      </w:r>
      <w:r w:rsidRPr="007C266E">
        <w:rPr>
          <w:rFonts w:ascii="Times New Roman" w:hAnsi="Times New Roman" w:cs="Times New Roman"/>
          <w:sz w:val="23"/>
          <w:szCs w:val="23"/>
          <w:lang w:val="ro-RO"/>
        </w:rPr>
        <w:t xml:space="preserve">. </w:t>
      </w:r>
    </w:p>
    <w:p w14:paraId="10D7930C"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3930FDC4"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anul</w:t>
      </w:r>
      <w:r w:rsidR="004E5651" w:rsidRPr="007C266E">
        <w:rPr>
          <w:rFonts w:ascii="Times New Roman" w:hAnsi="Times New Roman" w:cs="Times New Roman"/>
          <w:sz w:val="23"/>
          <w:szCs w:val="23"/>
          <w:lang w:val="ro-RO"/>
        </w:rPr>
        <w:t xml:space="preserve">2018, doar 0,35 </w:t>
      </w:r>
      <w:r w:rsidRPr="007C266E">
        <w:rPr>
          <w:rFonts w:ascii="Times New Roman" w:hAnsi="Times New Roman" w:cs="Times New Roman"/>
          <w:sz w:val="23"/>
          <w:szCs w:val="23"/>
          <w:lang w:val="ro-RO"/>
        </w:rPr>
        <w:t>TWh din energia electrică produsă la nivel</w:t>
      </w:r>
      <w:r w:rsidR="00EF5915" w:rsidRPr="007C266E">
        <w:rPr>
          <w:rFonts w:ascii="Times New Roman" w:hAnsi="Times New Roman" w:cs="Times New Roman"/>
          <w:sz w:val="23"/>
          <w:szCs w:val="23"/>
          <w:lang w:val="ro-RO"/>
        </w:rPr>
        <w:t xml:space="preserve"> naţional a provenit din biomasă</w:t>
      </w:r>
      <w:r w:rsidRPr="007C266E">
        <w:rPr>
          <w:rFonts w:ascii="Times New Roman" w:hAnsi="Times New Roman" w:cs="Times New Roman"/>
          <w:sz w:val="23"/>
          <w:szCs w:val="23"/>
          <w:lang w:val="ro-RO"/>
        </w:rPr>
        <w:t>, biolichide, biogaz, deşeuri şi gaze de fermentare a deşeurilor şi nămolurilor, în capacităţi însumând 12</w:t>
      </w:r>
      <w:r w:rsidR="00AA1D2A" w:rsidRPr="007C266E">
        <w:rPr>
          <w:rFonts w:ascii="Times New Roman" w:hAnsi="Times New Roman" w:cs="Times New Roman"/>
          <w:sz w:val="23"/>
          <w:szCs w:val="23"/>
          <w:lang w:val="ro-RO"/>
        </w:rPr>
        <w:t>4</w:t>
      </w:r>
      <w:r w:rsidRPr="007C266E">
        <w:rPr>
          <w:rFonts w:ascii="Times New Roman" w:hAnsi="Times New Roman" w:cs="Times New Roman"/>
          <w:sz w:val="23"/>
          <w:szCs w:val="23"/>
          <w:lang w:val="ro-RO"/>
        </w:rPr>
        <w:t xml:space="preserve"> MW putere instalată. </w:t>
      </w:r>
    </w:p>
    <w:p w14:paraId="278409D8" w14:textId="77777777" w:rsidR="007C06B8" w:rsidRPr="007C266E" w:rsidRDefault="007C06B8" w:rsidP="009E5804">
      <w:pPr>
        <w:spacing w:after="0" w:line="240" w:lineRule="auto"/>
        <w:jc w:val="both"/>
        <w:rPr>
          <w:rFonts w:ascii="Times New Roman" w:hAnsi="Times New Roman" w:cs="Times New Roman"/>
          <w:sz w:val="23"/>
          <w:szCs w:val="23"/>
          <w:lang w:val="ro-RO"/>
        </w:rPr>
      </w:pPr>
    </w:p>
    <w:p w14:paraId="0F7A5B72"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E</w:t>
      </w:r>
      <w:r w:rsidR="00824690" w:rsidRPr="007C266E">
        <w:rPr>
          <w:rFonts w:ascii="Times New Roman" w:hAnsi="Times New Roman" w:cs="Times New Roman"/>
          <w:b/>
          <w:sz w:val="23"/>
          <w:szCs w:val="23"/>
          <w:lang w:val="ro-RO"/>
        </w:rPr>
        <w:t>nergia geotermală</w:t>
      </w:r>
    </w:p>
    <w:p w14:paraId="6412CBD3" w14:textId="77777777" w:rsidR="00824690" w:rsidRPr="007C266E" w:rsidRDefault="00824690" w:rsidP="009E5804">
      <w:pPr>
        <w:spacing w:after="0" w:line="240" w:lineRule="auto"/>
        <w:jc w:val="both"/>
        <w:rPr>
          <w:rFonts w:ascii="Times New Roman" w:hAnsi="Times New Roman" w:cs="Times New Roman"/>
          <w:sz w:val="23"/>
          <w:szCs w:val="23"/>
          <w:lang w:val="ro-RO"/>
        </w:rPr>
      </w:pPr>
    </w:p>
    <w:p w14:paraId="40224C52"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Pe teritoriul României au fost identificate mai multe areale în care potenţialul geotermal se estimează că ar permite aplicaţii economice, pe o zonă extinsă în vestul Transilvaniei şi pe suprafeţe mai restrânse în nordul Bucureştiului, la nord de Rm. Vâlcea şi în jurul localităţii Ţăndărei. Cercetările anterioare anului 1990, au relevat faptul că potenţialul resurselor  geotermale cunoscute din România însumează aproximativ 7 PJ/an (cca. 1,67 milioane Gcal/an). Evidenţele din perioada 2014-2016, consemnează că din tot acest potenţial sunt valorificate anual sub forma de agent termic sau apă calda între 155 mii şi 200 mii Gcal.</w:t>
      </w:r>
    </w:p>
    <w:p w14:paraId="7ED6CA7D"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123226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Mare parte dintre puţurile prin care se realizează valorificare energiei geotermale au fost execute înainte de 1990, fiind finanțate cu fonduri de la bugetul de stat, pentru cercetare geologică. </w:t>
      </w:r>
    </w:p>
    <w:p w14:paraId="0BEBD982"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2040F04"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Costurile actuale pentru săparea unei sonde de apă geotermală care sunt similare cu costurile pentru săparea unei sonde de hidrocarburi. În aceste condiţii, pentru adâncimile de peste </w:t>
      </w:r>
      <w:r w:rsidRPr="007C266E">
        <w:rPr>
          <w:rFonts w:ascii="Times New Roman" w:hAnsi="Times New Roman" w:cs="Times New Roman"/>
          <w:sz w:val="23"/>
          <w:szCs w:val="23"/>
          <w:lang w:val="ro-RO"/>
        </w:rPr>
        <w:lastRenderedPageBreak/>
        <w:t>3</w:t>
      </w:r>
      <w:r w:rsidR="00EF5915"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000 metri care  caracterizează majoritatea resurselor geotermale din România, amortizarea investiţiilor pentru utilizarea energiei geotermale depăşeşte 55 ani; astfel de proiecte sunt considerate nerentabile. Prin urmare, parcul de sonde de producție d</w:t>
      </w:r>
      <w:r w:rsidR="000B2466" w:rsidRPr="007C266E">
        <w:rPr>
          <w:rFonts w:ascii="Times New Roman" w:hAnsi="Times New Roman" w:cs="Times New Roman"/>
          <w:sz w:val="23"/>
          <w:szCs w:val="23"/>
          <w:lang w:val="ro-RO"/>
        </w:rPr>
        <w:t xml:space="preserve">e apă geotermală nu a crescut. </w:t>
      </w:r>
    </w:p>
    <w:p w14:paraId="20C0EE89" w14:textId="77777777" w:rsidR="00E01CDC" w:rsidRPr="007C266E" w:rsidRDefault="00E01CDC" w:rsidP="009E5804">
      <w:pPr>
        <w:spacing w:after="0" w:line="240" w:lineRule="auto"/>
        <w:jc w:val="both"/>
        <w:rPr>
          <w:rFonts w:ascii="Times New Roman" w:hAnsi="Times New Roman" w:cs="Times New Roman"/>
          <w:sz w:val="23"/>
          <w:szCs w:val="23"/>
          <w:lang w:val="ro-RO"/>
        </w:rPr>
      </w:pPr>
    </w:p>
    <w:p w14:paraId="248BCEC5" w14:textId="77777777" w:rsidR="004C0FC3" w:rsidRPr="007C266E" w:rsidRDefault="004C0FC3" w:rsidP="004B4A53">
      <w:pPr>
        <w:spacing w:after="120" w:line="240" w:lineRule="auto"/>
        <w:jc w:val="both"/>
        <w:rPr>
          <w:rFonts w:ascii="Times New Roman" w:eastAsia="SimSun" w:hAnsi="Times New Roman" w:cs="Times New Roman"/>
          <w:sz w:val="23"/>
          <w:szCs w:val="23"/>
          <w:lang w:val="ro-RO" w:bidi="ro-RO"/>
        </w:rPr>
      </w:pPr>
      <w:r w:rsidRPr="007C266E">
        <w:rPr>
          <w:rFonts w:ascii="Times New Roman" w:eastAsia="SimSun" w:hAnsi="Times New Roman" w:cs="Times New Roman"/>
          <w:sz w:val="23"/>
          <w:szCs w:val="23"/>
          <w:lang w:val="ro-RO" w:bidi="ro-RO"/>
        </w:rPr>
        <w:t xml:space="preserve">Având în vedere angajamentele asumate în cadrul UE, de promovare a decarbonării și de dezvoltare a surselor de energie cu emisii reduse de carbon, cu accent pe energia regenerabilă, toate statele membre au implementat politici dedicate pentru promovarea surselor de energie regenerabilă și/sau pentru decarbonarea sectoarelor energetice naționale. Deși costul surselor regenerabile de energie a scăzut semnificativ în ultimii ani, </w:t>
      </w:r>
      <w:r w:rsidR="000F3AFE" w:rsidRPr="007C266E">
        <w:rPr>
          <w:rFonts w:ascii="Times New Roman" w:eastAsia="SimSun" w:hAnsi="Times New Roman" w:cs="Times New Roman"/>
          <w:sz w:val="23"/>
          <w:szCs w:val="23"/>
          <w:lang w:val="ro-RO" w:bidi="ro-RO"/>
        </w:rPr>
        <w:t>având în vedere caracterul intermitent și impredictibilitatea veniturilor pe termen lung, sunt necesare scheme de susținere a acestor tehnologii pentru viabilitatea lor în piață. Similar cu măsurile implementate în mai mu</w:t>
      </w:r>
      <w:r w:rsidRPr="007C266E">
        <w:rPr>
          <w:rFonts w:ascii="Times New Roman" w:eastAsia="SimSun" w:hAnsi="Times New Roman" w:cs="Times New Roman"/>
          <w:sz w:val="23"/>
          <w:szCs w:val="23"/>
          <w:lang w:val="ro-RO" w:bidi="ro-RO"/>
        </w:rPr>
        <w:t xml:space="preserve">lte state membre, </w:t>
      </w:r>
      <w:r w:rsidR="000F3AFE" w:rsidRPr="007C266E">
        <w:rPr>
          <w:rFonts w:ascii="Times New Roman" w:eastAsia="SimSun" w:hAnsi="Times New Roman" w:cs="Times New Roman"/>
          <w:sz w:val="23"/>
          <w:szCs w:val="23"/>
          <w:lang w:val="ro-RO" w:bidi="ro-RO"/>
        </w:rPr>
        <w:t xml:space="preserve">România are în vedere dezvoltarea și </w:t>
      </w:r>
      <w:r w:rsidRPr="007C266E">
        <w:rPr>
          <w:rFonts w:ascii="Times New Roman" w:eastAsia="SimSun" w:hAnsi="Times New Roman" w:cs="Times New Roman"/>
          <w:sz w:val="23"/>
          <w:szCs w:val="23"/>
          <w:lang w:val="ro-RO" w:bidi="ro-RO"/>
        </w:rPr>
        <w:t>implementa</w:t>
      </w:r>
      <w:r w:rsidR="000F3AFE" w:rsidRPr="007C266E">
        <w:rPr>
          <w:rFonts w:ascii="Times New Roman" w:eastAsia="SimSun" w:hAnsi="Times New Roman" w:cs="Times New Roman"/>
          <w:sz w:val="23"/>
          <w:szCs w:val="23"/>
          <w:lang w:val="ro-RO" w:bidi="ro-RO"/>
        </w:rPr>
        <w:t xml:space="preserve">rea unei </w:t>
      </w:r>
      <w:r w:rsidRPr="007C266E">
        <w:rPr>
          <w:rFonts w:ascii="Times New Roman" w:eastAsia="SimSun" w:hAnsi="Times New Roman" w:cs="Times New Roman"/>
          <w:sz w:val="23"/>
          <w:szCs w:val="23"/>
          <w:lang w:val="ro-RO" w:bidi="ro-RO"/>
        </w:rPr>
        <w:t xml:space="preserve">scheme de sprijin de tip CfD ca modalitate de a-şi atinge țintele de reducere a emisiilor în condiții de eficiență economică – cu costuri mai reduse – asigurând în același timp un climat investițional relativ stabil pentru investitori. </w:t>
      </w:r>
    </w:p>
    <w:p w14:paraId="22881C9B" w14:textId="46F4778C" w:rsidR="00E01CDC" w:rsidRPr="007C266E" w:rsidRDefault="00E01CDC" w:rsidP="006E1D2D">
      <w:pPr>
        <w:spacing w:after="0" w:line="240" w:lineRule="auto"/>
        <w:jc w:val="both"/>
        <w:rPr>
          <w:rFonts w:ascii="Times New Roman" w:hAnsi="Times New Roman" w:cs="Times New Roman"/>
          <w:sz w:val="23"/>
          <w:szCs w:val="23"/>
          <w:lang w:val="ro-RO"/>
        </w:rPr>
      </w:pPr>
    </w:p>
    <w:p w14:paraId="5ABE3342" w14:textId="77777777" w:rsidR="00C43C61" w:rsidRPr="007C266E" w:rsidRDefault="00C43C61" w:rsidP="000E7A5B">
      <w:pPr>
        <w:pStyle w:val="Heading3"/>
        <w:rPr>
          <w:rFonts w:ascii="Times New Roman" w:hAnsi="Times New Roman" w:cs="Times New Roman"/>
          <w:sz w:val="23"/>
          <w:szCs w:val="23"/>
          <w:lang w:val="ro-RO"/>
        </w:rPr>
      </w:pPr>
      <w:bookmarkStart w:id="39" w:name="_Toc44400871"/>
      <w:r w:rsidRPr="007C266E">
        <w:rPr>
          <w:rFonts w:ascii="Times New Roman" w:hAnsi="Times New Roman" w:cs="Times New Roman"/>
          <w:sz w:val="23"/>
          <w:szCs w:val="23"/>
          <w:lang w:val="ro-RO"/>
        </w:rPr>
        <w:t>IV.4.2.</w:t>
      </w:r>
      <w:r w:rsidRPr="007C266E">
        <w:rPr>
          <w:rFonts w:ascii="Times New Roman" w:hAnsi="Times New Roman" w:cs="Times New Roman"/>
          <w:sz w:val="23"/>
          <w:szCs w:val="23"/>
          <w:lang w:val="ro-RO"/>
        </w:rPr>
        <w:tab/>
        <w:t>R</w:t>
      </w:r>
      <w:r w:rsidR="000B2466" w:rsidRPr="007C266E">
        <w:rPr>
          <w:rFonts w:ascii="Times New Roman" w:hAnsi="Times New Roman" w:cs="Times New Roman"/>
          <w:sz w:val="23"/>
          <w:szCs w:val="23"/>
          <w:lang w:val="ro-RO"/>
        </w:rPr>
        <w:t>afinarea și produsele petroliere</w:t>
      </w:r>
      <w:bookmarkEnd w:id="39"/>
    </w:p>
    <w:p w14:paraId="4DC159B8" w14:textId="77777777" w:rsidR="00EE4C0C" w:rsidRPr="007C266E" w:rsidRDefault="00EE4C0C" w:rsidP="006E1D2D">
      <w:pPr>
        <w:spacing w:after="0" w:line="240" w:lineRule="auto"/>
        <w:jc w:val="both"/>
        <w:rPr>
          <w:rFonts w:ascii="Times New Roman" w:hAnsi="Times New Roman" w:cs="Times New Roman"/>
          <w:sz w:val="23"/>
          <w:szCs w:val="23"/>
          <w:lang w:val="ro-RO"/>
        </w:rPr>
      </w:pPr>
    </w:p>
    <w:p w14:paraId="0D9BD385" w14:textId="77777777" w:rsidR="00C43C61" w:rsidRPr="007C266E" w:rsidRDefault="00C43C61" w:rsidP="0038022C">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România are o capacitate de prelucrare a țițeiului mai mare decât cererea internă de produse petroliere. Rafinăriile românești, care achiziționează producția națională de țiței și importă circa două treimi din necesar, au în prezent o capacitate operațională de 12 mil t/an. În ultimii ani a avut loc o scădere a activității indigene de rafinare, atât pe fondul prețului relativ ridicat al energiei în UE față de țările compet</w:t>
      </w:r>
      <w:r w:rsidR="000B2466" w:rsidRPr="007C266E">
        <w:rPr>
          <w:rFonts w:ascii="Times New Roman" w:hAnsi="Times New Roman" w:cs="Times New Roman"/>
          <w:sz w:val="23"/>
          <w:szCs w:val="23"/>
          <w:lang w:val="ro-RO"/>
        </w:rPr>
        <w:t>itoare non-UE, cât și al costu</w:t>
      </w:r>
      <w:r w:rsidRPr="007C266E">
        <w:rPr>
          <w:rFonts w:ascii="Times New Roman" w:hAnsi="Times New Roman" w:cs="Times New Roman"/>
          <w:sz w:val="23"/>
          <w:szCs w:val="23"/>
          <w:lang w:val="ro-RO"/>
        </w:rPr>
        <w:t>rilor generate de reglementările europene privind reducerea emisiilor de CO</w:t>
      </w:r>
      <w:r w:rsidRPr="007C266E">
        <w:rPr>
          <w:rFonts w:ascii="Times New Roman" w:hAnsi="Times New Roman" w:cs="Times New Roman"/>
          <w:sz w:val="23"/>
          <w:szCs w:val="23"/>
          <w:vertAlign w:val="subscript"/>
          <w:lang w:val="ro-RO"/>
        </w:rPr>
        <w:t xml:space="preserve">2 </w:t>
      </w:r>
      <w:r w:rsidRPr="007C266E">
        <w:rPr>
          <w:rFonts w:ascii="Times New Roman" w:hAnsi="Times New Roman" w:cs="Times New Roman"/>
          <w:sz w:val="23"/>
          <w:szCs w:val="23"/>
          <w:lang w:val="ro-RO"/>
        </w:rPr>
        <w:t xml:space="preserve">și de noxe. </w:t>
      </w:r>
    </w:p>
    <w:p w14:paraId="2E0E4978" w14:textId="77777777" w:rsidR="00C43C61" w:rsidRPr="007C266E" w:rsidRDefault="00C43C61" w:rsidP="00A86877">
      <w:pPr>
        <w:spacing w:after="0" w:line="240" w:lineRule="auto"/>
        <w:jc w:val="both"/>
        <w:rPr>
          <w:rFonts w:ascii="Times New Roman" w:hAnsi="Times New Roman" w:cs="Times New Roman"/>
          <w:sz w:val="23"/>
          <w:szCs w:val="23"/>
          <w:lang w:val="ro-RO"/>
        </w:rPr>
      </w:pPr>
    </w:p>
    <w:p w14:paraId="75254440" w14:textId="77777777" w:rsidR="000B2466" w:rsidRPr="007C266E" w:rsidRDefault="00C43C61"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Sectorul de rafinare din România este format din patru rafinării operaţionale: Petrobrazi (deţinută de OMV Petrom), Petromidia şi Vega (deţinute de Rompet</w:t>
      </w:r>
      <w:r w:rsidR="00987CBF" w:rsidRPr="007C266E">
        <w:rPr>
          <w:rFonts w:ascii="Times New Roman" w:hAnsi="Times New Roman" w:cs="Times New Roman"/>
          <w:sz w:val="23"/>
          <w:szCs w:val="23"/>
          <w:lang w:val="ro-RO"/>
        </w:rPr>
        <w:t>rol</w:t>
      </w:r>
      <w:r w:rsidRPr="007C266E">
        <w:rPr>
          <w:rFonts w:ascii="Times New Roman" w:hAnsi="Times New Roman" w:cs="Times New Roman"/>
          <w:sz w:val="23"/>
          <w:szCs w:val="23"/>
          <w:lang w:val="ro-RO"/>
        </w:rPr>
        <w:t xml:space="preserve">), Petrotel (deţinută de Lukoil) care au o capacitate operațională totală de aproximativ 12 mil tone pe an. </w:t>
      </w:r>
    </w:p>
    <w:p w14:paraId="31B84C47" w14:textId="77777777" w:rsidR="00C43C61" w:rsidRPr="007C266E" w:rsidRDefault="008F6C45"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anul 2019 rafinăriile din România au prelucrat 12,1 mil. tone țiței și aditivi, din care 3,4 mil. tone producţie internă şi 8,6 mil. tone import.  </w:t>
      </w:r>
    </w:p>
    <w:p w14:paraId="0653118B" w14:textId="77777777" w:rsidR="009A53AA" w:rsidRPr="007C266E" w:rsidRDefault="009A53AA" w:rsidP="009E5804">
      <w:pPr>
        <w:spacing w:after="0" w:line="240" w:lineRule="auto"/>
        <w:jc w:val="both"/>
        <w:rPr>
          <w:rFonts w:ascii="Times New Roman" w:hAnsi="Times New Roman" w:cs="Times New Roman"/>
          <w:sz w:val="23"/>
          <w:szCs w:val="23"/>
          <w:lang w:val="ro-RO"/>
        </w:rPr>
      </w:pPr>
    </w:p>
    <w:p w14:paraId="3BD4BB7E" w14:textId="77777777" w:rsidR="00C43C61" w:rsidRPr="007C266E" w:rsidRDefault="008F6C45"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anul 2019 importul net de țiței şi produse brute a fost de 9,141 mil. tone, în principal din Federaţia Rusă, şi Kazahstan, dar și din Georgia, Irak, Iran, Azerbaidjan,  Turkmenistan, Angola şi Tunisia. </w:t>
      </w:r>
      <w:r w:rsidR="00C43C61" w:rsidRPr="007C266E">
        <w:rPr>
          <w:rFonts w:ascii="Times New Roman" w:hAnsi="Times New Roman" w:cs="Times New Roman"/>
          <w:sz w:val="23"/>
          <w:szCs w:val="23"/>
          <w:lang w:val="ro-RO"/>
        </w:rPr>
        <w:t>România este un exportator de produse petroliere – conform datelor statistice, în anul 2017 România a exportat combustibili petrolieri și lubrifianți în valoare de 2.285,3 milioane euro (din care 943,4 milioane euro carburanți pentru motoare). (Sursa: INS)</w:t>
      </w:r>
    </w:p>
    <w:p w14:paraId="6B299AE0"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362775D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Cererea de produse petroliere depinde în special de evoluția sectorului transporturilor. În ultimul deceniu, ca urmare a reglementărilor tot mai stricte, tehnologia a evoluat către motoare cu ardere internă de eficiență crescută. În paralel, la nivel mondial are loc diversificarea modului de propulsie a autovehiculelor, prin utilizarea </w:t>
      </w:r>
      <w:r w:rsidR="00AB40BF" w:rsidRPr="007C266E">
        <w:rPr>
          <w:rFonts w:ascii="Times New Roman" w:hAnsi="Times New Roman" w:cs="Times New Roman"/>
          <w:sz w:val="23"/>
          <w:szCs w:val="23"/>
          <w:lang w:val="ro-RO"/>
        </w:rPr>
        <w:t>biocarburanților</w:t>
      </w:r>
      <w:r w:rsidR="00B5763D" w:rsidRPr="007C266E">
        <w:rPr>
          <w:rFonts w:ascii="Times New Roman" w:hAnsi="Times New Roman" w:cs="Times New Roman"/>
          <w:sz w:val="23"/>
          <w:szCs w:val="23"/>
          <w:lang w:val="ro-RO"/>
        </w:rPr>
        <w:t>, a gazelor</w:t>
      </w:r>
      <w:r w:rsidRPr="007C266E">
        <w:rPr>
          <w:rFonts w:ascii="Times New Roman" w:hAnsi="Times New Roman" w:cs="Times New Roman"/>
          <w:sz w:val="23"/>
          <w:szCs w:val="23"/>
          <w:lang w:val="ro-RO"/>
        </w:rPr>
        <w:t xml:space="preserve"> natural</w:t>
      </w:r>
      <w:r w:rsidR="00B5763D"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și biogazului, dar și a energiei electrice și, marginal, a hidrogenului.</w:t>
      </w:r>
    </w:p>
    <w:p w14:paraId="22E18E1B" w14:textId="77777777" w:rsidR="008F6C45" w:rsidRPr="007C266E" w:rsidRDefault="008F6C45" w:rsidP="009E5804">
      <w:pPr>
        <w:spacing w:after="0" w:line="240" w:lineRule="auto"/>
        <w:jc w:val="both"/>
        <w:rPr>
          <w:rFonts w:ascii="Times New Roman" w:eastAsia="Calibri" w:hAnsi="Times New Roman" w:cs="Times New Roman"/>
          <w:vanish/>
          <w:sz w:val="23"/>
          <w:szCs w:val="23"/>
          <w:lang w:val="ro-RO"/>
          <w:specVanish/>
        </w:rPr>
      </w:pPr>
      <w:r w:rsidRPr="007C266E">
        <w:rPr>
          <w:rFonts w:ascii="Times New Roman" w:eastAsia="Calibri" w:hAnsi="Times New Roman" w:cs="Times New Roman"/>
          <w:sz w:val="23"/>
          <w:szCs w:val="23"/>
          <w:lang w:val="ro-RO"/>
        </w:rPr>
        <w:t>In procesul de creare a unei economii durabile, cu emisii scăzute de carbon, rolul biocombustibililor și al gazelor verzi</w:t>
      </w:r>
      <w:r w:rsidR="00AA1D2A" w:rsidRPr="007C266E">
        <w:rPr>
          <w:rFonts w:ascii="Times New Roman" w:eastAsia="Calibri" w:hAnsi="Times New Roman" w:cs="Times New Roman"/>
          <w:sz w:val="23"/>
          <w:szCs w:val="23"/>
          <w:lang w:val="ro-RO"/>
        </w:rPr>
        <w:t>”</w:t>
      </w:r>
      <w:r w:rsidR="00640D88" w:rsidRPr="007C266E">
        <w:rPr>
          <w:rFonts w:ascii="Times New Roman" w:eastAsia="Calibri" w:hAnsi="Times New Roman" w:cs="Times New Roman"/>
          <w:sz w:val="23"/>
          <w:szCs w:val="23"/>
          <w:lang w:val="ro-RO"/>
        </w:rPr>
        <w:t xml:space="preserve"> sau</w:t>
      </w:r>
      <w:r w:rsidR="00AA1D2A" w:rsidRPr="007C266E">
        <w:rPr>
          <w:rFonts w:ascii="Times New Roman" w:eastAsia="Calibri" w:hAnsi="Times New Roman" w:cs="Times New Roman"/>
          <w:sz w:val="23"/>
          <w:szCs w:val="23"/>
          <w:lang w:val="ro-RO"/>
        </w:rPr>
        <w:t xml:space="preserve"> al gazelor</w:t>
      </w:r>
      <w:r w:rsidR="00640D88" w:rsidRPr="007C266E">
        <w:rPr>
          <w:rFonts w:ascii="Times New Roman" w:eastAsia="Calibri" w:hAnsi="Times New Roman" w:cs="Times New Roman"/>
          <w:sz w:val="23"/>
          <w:szCs w:val="23"/>
          <w:lang w:val="ro-RO"/>
        </w:rPr>
        <w:t xml:space="preserve"> obținute din alte tehnologii cu emisii reduse de carbon</w:t>
      </w:r>
      <w:r w:rsidRPr="007C266E">
        <w:rPr>
          <w:rFonts w:ascii="Times New Roman" w:eastAsia="Calibri" w:hAnsi="Times New Roman" w:cs="Times New Roman"/>
          <w:sz w:val="23"/>
          <w:szCs w:val="23"/>
          <w:lang w:val="ro-RO"/>
        </w:rPr>
        <w:t xml:space="preserve"> în tranziția energetică, precum și în realizarea obiectivelor climatice și energetice asumate de România pentru anul 2030 în calitate de Stat Membru al UE, se aşteaptă să fie potenţat în perioada următoare. Biocombustibilii, alături de energia din surse regenerabile şi hidrogen, vor contribui substanţial la transformarea sistemului energetic. </w:t>
      </w:r>
    </w:p>
    <w:p w14:paraId="42156E16" w14:textId="77777777" w:rsidR="008F6C45" w:rsidRPr="007C266E" w:rsidRDefault="00AA1D2A"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4B2D1862" w14:textId="77777777" w:rsidR="00C43C61" w:rsidRPr="007C266E" w:rsidRDefault="00C43C61" w:rsidP="000E7A5B">
      <w:pPr>
        <w:pStyle w:val="Heading3"/>
        <w:spacing w:line="240" w:lineRule="auto"/>
        <w:rPr>
          <w:rFonts w:ascii="Times New Roman" w:hAnsi="Times New Roman" w:cs="Times New Roman"/>
          <w:sz w:val="23"/>
          <w:szCs w:val="23"/>
          <w:lang w:val="ro-RO"/>
        </w:rPr>
      </w:pPr>
      <w:bookmarkStart w:id="40" w:name="_Toc44400872"/>
      <w:r w:rsidRPr="007C266E">
        <w:rPr>
          <w:rFonts w:ascii="Times New Roman" w:hAnsi="Times New Roman" w:cs="Times New Roman"/>
          <w:sz w:val="23"/>
          <w:szCs w:val="23"/>
          <w:lang w:val="ro-RO"/>
        </w:rPr>
        <w:lastRenderedPageBreak/>
        <w:t>IV.4.3.</w:t>
      </w:r>
      <w:r w:rsidRPr="007C266E">
        <w:rPr>
          <w:rFonts w:ascii="Times New Roman" w:hAnsi="Times New Roman" w:cs="Times New Roman"/>
          <w:sz w:val="23"/>
          <w:szCs w:val="23"/>
          <w:lang w:val="ro-RO"/>
        </w:rPr>
        <w:tab/>
        <w:t xml:space="preserve"> P</w:t>
      </w:r>
      <w:r w:rsidR="000B2466" w:rsidRPr="007C266E">
        <w:rPr>
          <w:rFonts w:ascii="Times New Roman" w:hAnsi="Times New Roman" w:cs="Times New Roman"/>
          <w:sz w:val="23"/>
          <w:szCs w:val="23"/>
          <w:lang w:val="ro-RO"/>
        </w:rPr>
        <w:t>iața internă de gaze naturale, transportul, înmagazinarea și distribuția</w:t>
      </w:r>
      <w:bookmarkEnd w:id="40"/>
    </w:p>
    <w:p w14:paraId="1C0D5201" w14:textId="77777777" w:rsidR="00EE4C0C" w:rsidRPr="007C266E" w:rsidRDefault="00EE4C0C" w:rsidP="006E1D2D">
      <w:pPr>
        <w:spacing w:after="0" w:line="240" w:lineRule="auto"/>
        <w:jc w:val="both"/>
        <w:rPr>
          <w:rFonts w:ascii="Times New Roman" w:hAnsi="Times New Roman" w:cs="Times New Roman"/>
          <w:i/>
          <w:sz w:val="23"/>
          <w:szCs w:val="23"/>
          <w:lang w:val="ro-RO"/>
        </w:rPr>
      </w:pPr>
    </w:p>
    <w:p w14:paraId="460FA124" w14:textId="77777777" w:rsidR="00C43C61" w:rsidRPr="007C266E" w:rsidRDefault="00C43C61" w:rsidP="0038022C">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Piața internă de gaze naturale</w:t>
      </w:r>
    </w:p>
    <w:p w14:paraId="60A5C56E" w14:textId="77777777" w:rsidR="000B2466" w:rsidRPr="007C266E" w:rsidRDefault="000B2466" w:rsidP="00A86877">
      <w:pPr>
        <w:spacing w:after="0" w:line="240" w:lineRule="auto"/>
        <w:jc w:val="both"/>
        <w:rPr>
          <w:rFonts w:ascii="Times New Roman" w:hAnsi="Times New Roman" w:cs="Times New Roman"/>
          <w:sz w:val="23"/>
          <w:szCs w:val="23"/>
          <w:lang w:val="ro-RO"/>
        </w:rPr>
      </w:pPr>
    </w:p>
    <w:p w14:paraId="5294079E" w14:textId="77777777" w:rsidR="00C43C61" w:rsidRPr="007C266E" w:rsidRDefault="00C43C61"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Piaţa de gaze naturale este compusă din piaţa reglementată şi piaţa concurenţială, iar tranzacţiile cu gaze naturale se fac angro sau cu amănuntul.</w:t>
      </w:r>
    </w:p>
    <w:p w14:paraId="13F51F81" w14:textId="77777777" w:rsidR="00C43C61" w:rsidRPr="007C266E" w:rsidRDefault="00C43C61" w:rsidP="002F5C09">
      <w:pPr>
        <w:spacing w:after="0" w:line="240" w:lineRule="auto"/>
        <w:jc w:val="both"/>
        <w:rPr>
          <w:rFonts w:ascii="Times New Roman" w:hAnsi="Times New Roman" w:cs="Times New Roman"/>
          <w:sz w:val="23"/>
          <w:szCs w:val="23"/>
          <w:lang w:val="ro-RO"/>
        </w:rPr>
      </w:pPr>
    </w:p>
    <w:p w14:paraId="3DC648F1"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Piaţa gazelor naturale cuprinde în ceea ce priveşte furnizarea gazelor naturale:</w:t>
      </w:r>
    </w:p>
    <w:p w14:paraId="7AE91E6A" w14:textId="77777777" w:rsidR="000B2466" w:rsidRPr="007C266E" w:rsidRDefault="00C43C61" w:rsidP="002500F7">
      <w:pPr>
        <w:pStyle w:val="ListParagraph"/>
        <w:numPr>
          <w:ilvl w:val="0"/>
          <w:numId w:val="5"/>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furnizarea gazelor naturale către clienții casnici – furnizare pe piața reglementată – până la data de 30 iunie 2021 (conform Legii energiei electrice şi a gazelor naturale nr. 123/2012, cu modificăril</w:t>
      </w:r>
      <w:r w:rsidR="000B2466" w:rsidRPr="007C266E">
        <w:rPr>
          <w:rFonts w:ascii="Times New Roman" w:hAnsi="Times New Roman" w:cs="Times New Roman"/>
          <w:sz w:val="23"/>
          <w:szCs w:val="23"/>
          <w:lang w:val="ro-RO"/>
        </w:rPr>
        <w:t>e și completările ulterioare);</w:t>
      </w:r>
    </w:p>
    <w:p w14:paraId="5C40B2AE" w14:textId="77777777" w:rsidR="00C43C61" w:rsidRPr="007C266E" w:rsidRDefault="00C43C61" w:rsidP="002500F7">
      <w:pPr>
        <w:pStyle w:val="ListParagraph"/>
        <w:numPr>
          <w:ilvl w:val="0"/>
          <w:numId w:val="5"/>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furnizarea gazelor naturale către clienții non-casnici – furnizare care a fost complet liberalizată începând cu data de 1 ianuarie 2015.</w:t>
      </w:r>
    </w:p>
    <w:p w14:paraId="3913A5E3" w14:textId="77777777" w:rsidR="00C43C61" w:rsidRPr="007C266E" w:rsidRDefault="00786040"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b/>
      </w:r>
    </w:p>
    <w:p w14:paraId="41CFC5CA"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Transportul, înmagazinarea, distribuția și piața gazelor naturale</w:t>
      </w:r>
    </w:p>
    <w:p w14:paraId="5AE3A56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b/>
      </w:r>
    </w:p>
    <w:p w14:paraId="6A4E5F00"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Sistemul Național de Transport (SNT) a fost conceput ca un sistem radial-inelar interconectat, fiind dezvoltat în jurul şi având drept puncte de plecare marile zăcăminte de gaze naturale din Bazinul Transilvaniei (centrul ţării), Oltenia şi ulterior Muntenia de Est (sudul ţării). Drept destinaţie au fost marii consumatori din zona Ploieşti – Bucureşti, Moldova, Oltenia, precum şi pe cei din zona centrală (Transilvania) şi de nord a ţării.  </w:t>
      </w:r>
    </w:p>
    <w:p w14:paraId="5B9F6E5F"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E5A1785"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Ulterior, fluxurile de gaze naturale au suferit modificări importante din cauza declinului surselor din Bazinul Transilvaniei, Moldova, Oltenia şi apariţiei altor surse (import, OMV-Petrom, concesionări realizate de terţi </w:t>
      </w:r>
      <w:r w:rsidR="0026232D" w:rsidRPr="007C266E">
        <w:rPr>
          <w:rFonts w:ascii="Times New Roman" w:hAnsi="Times New Roman" w:cs="Times New Roman"/>
          <w:sz w:val="23"/>
          <w:szCs w:val="23"/>
          <w:lang w:val="ro-RO"/>
        </w:rPr>
        <w:t>etc.</w:t>
      </w:r>
      <w:r w:rsidRPr="007C266E">
        <w:rPr>
          <w:rFonts w:ascii="Times New Roman" w:hAnsi="Times New Roman" w:cs="Times New Roman"/>
          <w:sz w:val="23"/>
          <w:szCs w:val="23"/>
          <w:lang w:val="ro-RO"/>
        </w:rPr>
        <w:t xml:space="preserve">), în condiţiile în care infrastructura de transport gaze naturale a rămas aceeaşi.  </w:t>
      </w:r>
    </w:p>
    <w:p w14:paraId="3144F71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Sistemul Naţional de Transport este reprezentat de ansamblul de conducte magistrale, precum şi de instalaţiile, </w:t>
      </w:r>
      <w:r w:rsidRPr="007C266E">
        <w:rPr>
          <w:rFonts w:ascii="Times New Roman" w:hAnsi="Times New Roman" w:cs="Times New Roman"/>
          <w:sz w:val="23"/>
          <w:szCs w:val="23"/>
          <w:lang w:val="ro-RO"/>
        </w:rPr>
        <w:lastRenderedPageBreak/>
        <w:t>echipamentele şi dotările aferente acestora, utilizate la presiuni cuprinse între 6 bar şi 40 bar, cu excepția transportului internațional (63 bar) prin care se asigură preluarea gazelor naturale extrase din perimetrele de producţie sau a celor provenite din import şi transportul acestora. .</w:t>
      </w:r>
    </w:p>
    <w:p w14:paraId="3DC8533F"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92E7792" w14:textId="77777777" w:rsidR="00C30548"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Capacitatea tehnică totală a punctelor de intrare/ieșire în/din SNT este de 149.034 mii mc/zi (54,39 mld mc/an) la intrare și de 243.225 mii mc/</w:t>
      </w:r>
      <w:r w:rsidR="00C30548" w:rsidRPr="007C266E">
        <w:rPr>
          <w:rFonts w:ascii="Times New Roman" w:hAnsi="Times New Roman" w:cs="Times New Roman"/>
          <w:sz w:val="23"/>
          <w:szCs w:val="23"/>
          <w:lang w:val="ro-RO"/>
        </w:rPr>
        <w:t>zi (88,77 mld mc/an) la ieșire.</w:t>
      </w:r>
    </w:p>
    <w:p w14:paraId="16ADF428" w14:textId="77777777" w:rsidR="00C30548" w:rsidRPr="007C266E" w:rsidRDefault="00C30548" w:rsidP="009E5804">
      <w:pPr>
        <w:spacing w:after="0" w:line="240" w:lineRule="auto"/>
        <w:jc w:val="both"/>
        <w:rPr>
          <w:rFonts w:ascii="Times New Roman" w:hAnsi="Times New Roman" w:cs="Times New Roman"/>
          <w:sz w:val="23"/>
          <w:szCs w:val="23"/>
          <w:lang w:val="ro-RO"/>
        </w:rPr>
      </w:pPr>
    </w:p>
    <w:p w14:paraId="2A7C6D63"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Capacitatea tehnică totală a punctelor de interconectare amplasate pe conductele de transport internațional este de cca 70.000 mii mc/zi (25,55 mld mc/an), atât la intrare cât și la ieșirea din țară.</w:t>
      </w:r>
    </w:p>
    <w:p w14:paraId="027D340E"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8429C55" w14:textId="77777777" w:rsidR="00C30548"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Activitatea de transport gaze naturale este desfăşurată de compania Transgaz - operatorul de transport și sistem. </w:t>
      </w:r>
    </w:p>
    <w:p w14:paraId="4E7438E7" w14:textId="77777777" w:rsidR="00C30548" w:rsidRPr="007C266E" w:rsidRDefault="00C30548" w:rsidP="009E5804">
      <w:pPr>
        <w:spacing w:after="0" w:line="240" w:lineRule="auto"/>
        <w:jc w:val="both"/>
        <w:rPr>
          <w:rFonts w:ascii="Times New Roman" w:hAnsi="Times New Roman" w:cs="Times New Roman"/>
          <w:sz w:val="23"/>
          <w:szCs w:val="23"/>
          <w:lang w:val="ro-RO"/>
        </w:rPr>
      </w:pPr>
    </w:p>
    <w:p w14:paraId="5BB7E675"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Transportul gazelor naturale este asigurat prin cei peste 13.300 km de conducte şi racorduri de alimentare gaz cu diametre cuprinse între 50 mm şi 1</w:t>
      </w:r>
      <w:r w:rsidR="001B47A0"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200 mm, la presiuni </w:t>
      </w:r>
      <w:r w:rsidR="00631422" w:rsidRPr="007C266E">
        <w:rPr>
          <w:rFonts w:ascii="Times New Roman" w:hAnsi="Times New Roman" w:cs="Times New Roman"/>
          <w:sz w:val="23"/>
          <w:szCs w:val="23"/>
          <w:lang w:val="ro-RO"/>
        </w:rPr>
        <w:t>nominale de 40</w:t>
      </w:r>
      <w:r w:rsidRPr="007C266E">
        <w:rPr>
          <w:rFonts w:ascii="Times New Roman" w:hAnsi="Times New Roman" w:cs="Times New Roman"/>
          <w:sz w:val="23"/>
          <w:szCs w:val="23"/>
          <w:lang w:val="ro-RO"/>
        </w:rPr>
        <w:t xml:space="preserve"> bar.</w:t>
      </w:r>
    </w:p>
    <w:p w14:paraId="39110FF7"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5E9E3B10"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Activitatea de transport internaţional gaze naturale este desfăşurată de Transgaz în baza licenţei de operare a sistemului de transport gaze. </w:t>
      </w:r>
      <w:r w:rsidR="00604B51"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ctivitatea de transport internaţional gaze naturale se desfășoară în zona de Sud-Est a țării (Dobrogea) unde sectorul românesc de conducte existent între localitățile Isaccea și Negru Vodă, se include în culoarul balcanic de transport internaţional gaze naturale din Federația Rusă spre Bulgaria, Turcia, Grecia și Macedonia.</w:t>
      </w:r>
    </w:p>
    <w:p w14:paraId="774CC7D3"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579AE2E3" w14:textId="77777777" w:rsidR="00C43C61"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SNT este conectat cu statele vecine, respectiv cu Ucraina, Ungaria, Moldova și Bulgaria, prin intermediul a cinci puncte de </w:t>
      </w:r>
      <w:r w:rsidR="00C30548" w:rsidRPr="007C266E">
        <w:rPr>
          <w:rFonts w:ascii="Times New Roman" w:hAnsi="Times New Roman" w:cs="Times New Roman"/>
          <w:sz w:val="23"/>
          <w:szCs w:val="23"/>
          <w:lang w:val="ro-RO"/>
        </w:rPr>
        <w:t>interconectare transfrontalieră.</w:t>
      </w:r>
    </w:p>
    <w:p w14:paraId="00AA05A7" w14:textId="77777777" w:rsidR="00C84B43" w:rsidRDefault="00C84B43" w:rsidP="009E5804">
      <w:pPr>
        <w:spacing w:after="0" w:line="240" w:lineRule="auto"/>
        <w:jc w:val="both"/>
        <w:rPr>
          <w:rFonts w:ascii="Times New Roman" w:hAnsi="Times New Roman" w:cs="Times New Roman"/>
          <w:sz w:val="23"/>
          <w:szCs w:val="23"/>
          <w:lang w:val="ro-RO"/>
        </w:rPr>
      </w:pPr>
    </w:p>
    <w:p w14:paraId="15A7921D" w14:textId="77777777" w:rsidR="00C84B43" w:rsidRDefault="00C84B43" w:rsidP="009E5804">
      <w:pPr>
        <w:spacing w:after="0" w:line="240" w:lineRule="auto"/>
        <w:jc w:val="both"/>
        <w:rPr>
          <w:rFonts w:ascii="Times New Roman" w:hAnsi="Times New Roman" w:cs="Times New Roman"/>
          <w:sz w:val="23"/>
          <w:szCs w:val="23"/>
          <w:lang w:val="ro-RO"/>
        </w:rPr>
      </w:pPr>
    </w:p>
    <w:p w14:paraId="589D3016" w14:textId="77777777" w:rsidR="00C84B43" w:rsidRPr="007C266E" w:rsidRDefault="00C84B43" w:rsidP="009E5804">
      <w:pPr>
        <w:spacing w:after="0" w:line="240" w:lineRule="auto"/>
        <w:jc w:val="both"/>
        <w:rPr>
          <w:rFonts w:ascii="Times New Roman" w:hAnsi="Times New Roman" w:cs="Times New Roman"/>
          <w:sz w:val="23"/>
          <w:szCs w:val="23"/>
          <w:lang w:val="ro-RO"/>
        </w:rPr>
      </w:pPr>
    </w:p>
    <w:p w14:paraId="6BFEF468" w14:textId="77777777" w:rsidR="00750CF6" w:rsidRPr="007C266E" w:rsidRDefault="00750CF6" w:rsidP="009E5804">
      <w:pPr>
        <w:spacing w:after="0" w:line="240" w:lineRule="auto"/>
        <w:jc w:val="both"/>
        <w:rPr>
          <w:rFonts w:ascii="Times New Roman" w:hAnsi="Times New Roman" w:cs="Times New Roman"/>
          <w:sz w:val="23"/>
          <w:szCs w:val="23"/>
          <w:lang w:val="ro-RO"/>
        </w:rPr>
      </w:pPr>
    </w:p>
    <w:p w14:paraId="2EF320BC"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lastRenderedPageBreak/>
        <w:t>Înmagazinarea gazelor naturale</w:t>
      </w:r>
      <w:r w:rsidRPr="007C266E">
        <w:rPr>
          <w:rFonts w:ascii="Times New Roman" w:hAnsi="Times New Roman" w:cs="Times New Roman"/>
          <w:i/>
          <w:sz w:val="23"/>
          <w:szCs w:val="23"/>
          <w:lang w:val="ro-RO"/>
        </w:rPr>
        <w:tab/>
      </w:r>
    </w:p>
    <w:p w14:paraId="403B95F4"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8F47A52"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Înmagazinarea subterană a gazelor naturale are un rol major în asigurarea siguranței în aprovizionarea cu gaze naturale, facilitând echilibrarea balanței consum - producție internă - import de gaze naturale, prin acoperirea vârfurilor de consum cauzate în principal de variaţiile de temperatură, precum şi menţinerea caracteristicilor de funcţionare optimă a sistemului național de transport gaze naturale în sezonul rece.</w:t>
      </w:r>
    </w:p>
    <w:p w14:paraId="66057CF8"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B98267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Activitatea de înmagazinare subterană a gazelor naturale este o activitate</w:t>
      </w:r>
      <w:r w:rsidR="00C30548" w:rsidRPr="007C266E">
        <w:rPr>
          <w:rFonts w:ascii="Times New Roman" w:hAnsi="Times New Roman" w:cs="Times New Roman"/>
          <w:sz w:val="23"/>
          <w:szCs w:val="23"/>
          <w:lang w:val="ro-RO"/>
        </w:rPr>
        <w:t xml:space="preserve"> tarifată</w:t>
      </w:r>
      <w:r w:rsidR="0026232D" w:rsidRPr="007C266E">
        <w:rPr>
          <w:rFonts w:ascii="Times New Roman" w:hAnsi="Times New Roman" w:cs="Times New Roman"/>
          <w:sz w:val="23"/>
          <w:szCs w:val="23"/>
          <w:lang w:val="ro-RO"/>
        </w:rPr>
        <w:t xml:space="preserve"> </w:t>
      </w:r>
      <w:r w:rsidR="00C30548" w:rsidRPr="007C266E">
        <w:rPr>
          <w:rFonts w:ascii="Times New Roman" w:hAnsi="Times New Roman" w:cs="Times New Roman"/>
          <w:sz w:val="23"/>
          <w:szCs w:val="23"/>
          <w:lang w:val="ro-RO"/>
        </w:rPr>
        <w:t xml:space="preserve">și </w:t>
      </w:r>
      <w:r w:rsidRPr="007C266E">
        <w:rPr>
          <w:rFonts w:ascii="Times New Roman" w:hAnsi="Times New Roman" w:cs="Times New Roman"/>
          <w:sz w:val="23"/>
          <w:szCs w:val="23"/>
          <w:lang w:val="ro-RO"/>
        </w:rPr>
        <w:t xml:space="preserve">reglementată și poate fi desfășurată numai de operatori licențiați de către ANRE în acest scop. </w:t>
      </w:r>
    </w:p>
    <w:p w14:paraId="17094E92" w14:textId="77777777" w:rsidR="00C30548" w:rsidRPr="007C266E" w:rsidRDefault="00C30548" w:rsidP="009E5804">
      <w:pPr>
        <w:spacing w:after="0" w:line="240" w:lineRule="auto"/>
        <w:jc w:val="both"/>
        <w:rPr>
          <w:rFonts w:ascii="Times New Roman" w:hAnsi="Times New Roman" w:cs="Times New Roman"/>
          <w:sz w:val="23"/>
          <w:szCs w:val="23"/>
          <w:lang w:val="ro-RO"/>
        </w:rPr>
      </w:pPr>
    </w:p>
    <w:p w14:paraId="5B1803B0"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Capacitatea totală de înmagazinare a României este, în prezent, de cca. 4,5 miliarde mc/ciclu, din care capacitatea utilă este de 3,1 mld. mc/ciclu (exclusiv în zăcăminte depletate); sunt operate şapte depozite de înmagazinare, din care şase de către Romgaz, având c</w:t>
      </w:r>
      <w:r w:rsidR="001B47A0" w:rsidRPr="007C266E">
        <w:rPr>
          <w:rFonts w:ascii="Times New Roman" w:hAnsi="Times New Roman" w:cs="Times New Roman"/>
          <w:sz w:val="23"/>
          <w:szCs w:val="23"/>
          <w:lang w:val="ro-RO"/>
        </w:rPr>
        <w:t>apacitatea utilă de 2,8 mld. m</w:t>
      </w:r>
      <w:r w:rsidRPr="007C266E">
        <w:rPr>
          <w:rFonts w:ascii="Times New Roman" w:hAnsi="Times New Roman" w:cs="Times New Roman"/>
          <w:sz w:val="23"/>
          <w:szCs w:val="23"/>
          <w:lang w:val="ro-RO"/>
        </w:rPr>
        <w:t>c, iar unul, cu o capacitate totală de 0,3 m</w:t>
      </w:r>
      <w:r w:rsidR="001B47A0" w:rsidRPr="007C266E">
        <w:rPr>
          <w:rFonts w:ascii="Times New Roman" w:hAnsi="Times New Roman" w:cs="Times New Roman"/>
          <w:sz w:val="23"/>
          <w:szCs w:val="23"/>
          <w:lang w:val="ro-RO"/>
        </w:rPr>
        <w:t>ld.</w:t>
      </w:r>
      <w:r w:rsidRPr="007C266E">
        <w:rPr>
          <w:rFonts w:ascii="Times New Roman" w:hAnsi="Times New Roman" w:cs="Times New Roman"/>
          <w:sz w:val="23"/>
          <w:szCs w:val="23"/>
          <w:lang w:val="ro-RO"/>
        </w:rPr>
        <w:t xml:space="preserve"> mc</w:t>
      </w:r>
      <w:r w:rsidR="00C30548" w:rsidRPr="007C266E">
        <w:rPr>
          <w:rFonts w:ascii="Times New Roman" w:hAnsi="Times New Roman" w:cs="Times New Roman"/>
          <w:sz w:val="23"/>
          <w:szCs w:val="23"/>
          <w:lang w:val="ro-RO"/>
        </w:rPr>
        <w:t>, este operat de Engie.</w:t>
      </w:r>
    </w:p>
    <w:p w14:paraId="4352702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4CA61DC7"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Pentru asigurarea siguranței în aprovizionare</w:t>
      </w:r>
      <w:r w:rsidR="004235A6"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legislația națională actuală reglementează nivelul stocului minim de gaze naturale care trebuie constituit de către fiecare furnizor și pentru fiecare segment de piața. </w:t>
      </w:r>
    </w:p>
    <w:p w14:paraId="1BD1344F" w14:textId="77777777" w:rsidR="00C43C61" w:rsidRPr="007C266E" w:rsidRDefault="004235A6"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43D08C72"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Înmagazinările subterane sunt utilizate cu predilecţie pentru:</w:t>
      </w:r>
    </w:p>
    <w:p w14:paraId="32A8D1C6" w14:textId="77777777" w:rsidR="00C43C61" w:rsidRPr="007C266E" w:rsidRDefault="00C43C61" w:rsidP="002500F7">
      <w:pPr>
        <w:pStyle w:val="ListParagraph"/>
        <w:numPr>
          <w:ilvl w:val="0"/>
          <w:numId w:val="6"/>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acoperirea vârfurilor de consum şi regimului fluctuant al cererii;</w:t>
      </w:r>
    </w:p>
    <w:p w14:paraId="11846309" w14:textId="77777777" w:rsidR="00C43C61" w:rsidRPr="007C266E" w:rsidRDefault="00C43C61" w:rsidP="002500F7">
      <w:pPr>
        <w:pStyle w:val="ListParagraph"/>
        <w:numPr>
          <w:ilvl w:val="0"/>
          <w:numId w:val="6"/>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redresarea operativă a parametrilor funcţionali ai sistemului de transport (presiuni, debite);</w:t>
      </w:r>
    </w:p>
    <w:p w14:paraId="1ED81C66" w14:textId="77777777" w:rsidR="00C43C61" w:rsidRPr="007C266E" w:rsidRDefault="00C43C61" w:rsidP="002500F7">
      <w:pPr>
        <w:pStyle w:val="ListParagraph"/>
        <w:numPr>
          <w:ilvl w:val="0"/>
          <w:numId w:val="6"/>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controlul livrărilor în situaţii extreme (opriri surse, accidente, etc.).</w:t>
      </w:r>
    </w:p>
    <w:p w14:paraId="63C63D82"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73296D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Datorită schimbărilor apărute pe piaţa europeană a gazelor naturale, a liberalizării pieţei gazelor naturale, înmagazinarea </w:t>
      </w:r>
      <w:r w:rsidRPr="007C266E">
        <w:rPr>
          <w:rFonts w:ascii="Times New Roman" w:hAnsi="Times New Roman" w:cs="Times New Roman"/>
          <w:sz w:val="23"/>
          <w:szCs w:val="23"/>
          <w:lang w:val="ro-RO"/>
        </w:rPr>
        <w:lastRenderedPageBreak/>
        <w:t>subterană a gazelor naturale va dobândi noi valenţe. În noul context, depozitele de înmagazinare vor putea fi utilizate inclusiv pentru optimizarea preţului gazelor naturale.</w:t>
      </w:r>
    </w:p>
    <w:p w14:paraId="7AD2990A"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C45FF07" w14:textId="77777777" w:rsidR="00C67EC2" w:rsidRPr="007C266E" w:rsidRDefault="00C67EC2" w:rsidP="009E5804">
      <w:pPr>
        <w:spacing w:after="0" w:line="240" w:lineRule="auto"/>
        <w:jc w:val="both"/>
        <w:rPr>
          <w:rFonts w:ascii="Times New Roman" w:eastAsia="Calibri" w:hAnsi="Times New Roman" w:cs="Times New Roman"/>
          <w:sz w:val="23"/>
          <w:szCs w:val="23"/>
          <w:lang w:val="ro-RO"/>
        </w:rPr>
      </w:pPr>
      <w:r w:rsidRPr="007C266E">
        <w:rPr>
          <w:rFonts w:ascii="Times New Roman" w:eastAsia="Calibri" w:hAnsi="Times New Roman" w:cs="Times New Roman"/>
          <w:sz w:val="23"/>
          <w:szCs w:val="23"/>
          <w:lang w:val="ro-RO"/>
        </w:rPr>
        <w:t>Comisia Europeană a adoptat, în luna octombrie 2019 cea de-a patra listă de proiecte de interes comun (PCIs) cu scopul implementării proiectelor</w:t>
      </w:r>
      <w:r w:rsidR="003A0CCB" w:rsidRPr="007C266E">
        <w:rPr>
          <w:rFonts w:ascii="Times New Roman" w:eastAsia="Calibri" w:hAnsi="Times New Roman" w:cs="Times New Roman"/>
          <w:sz w:val="23"/>
          <w:szCs w:val="23"/>
          <w:lang w:val="ro-RO"/>
        </w:rPr>
        <w:t xml:space="preserve"> </w:t>
      </w:r>
      <w:r w:rsidRPr="007C266E">
        <w:rPr>
          <w:rFonts w:ascii="Times New Roman" w:eastAsia="Calibri" w:hAnsi="Times New Roman" w:cs="Times New Roman"/>
          <w:sz w:val="23"/>
          <w:szCs w:val="23"/>
          <w:lang w:val="ro-RO"/>
        </w:rPr>
        <w:t>cheie de infrastructură energetică, care vor contribui la realizarea obiectivelor energetice și climatice ale Europei și care constituie elemente esențiale ale Uniunii Energetice. Lista identifică cele mai relevante proiecte de interes comun în sectorul energiei electrice, gazelor naturale și reţelelor inteligente și reflectă, în același timp, echilibrul între trei obiective esenţiale pentru politica energetică europeană, respectiv, sustenabilitate, accesibilita</w:t>
      </w:r>
      <w:r w:rsidR="003A0CCB" w:rsidRPr="007C266E">
        <w:rPr>
          <w:rFonts w:ascii="Times New Roman" w:eastAsia="Calibri" w:hAnsi="Times New Roman" w:cs="Times New Roman"/>
          <w:sz w:val="23"/>
          <w:szCs w:val="23"/>
          <w:lang w:val="ro-RO"/>
        </w:rPr>
        <w:t>t</w:t>
      </w:r>
      <w:r w:rsidRPr="007C266E">
        <w:rPr>
          <w:rFonts w:ascii="Times New Roman" w:eastAsia="Calibri" w:hAnsi="Times New Roman" w:cs="Times New Roman"/>
          <w:sz w:val="23"/>
          <w:szCs w:val="23"/>
          <w:lang w:val="ro-RO"/>
        </w:rPr>
        <w:t xml:space="preserve">e și siguranţa în aprovizionare.  </w:t>
      </w:r>
    </w:p>
    <w:p w14:paraId="2455AD0D" w14:textId="77777777" w:rsidR="004235A6" w:rsidRPr="007C266E" w:rsidRDefault="004235A6" w:rsidP="009E5804">
      <w:pPr>
        <w:spacing w:after="0" w:line="240" w:lineRule="auto"/>
        <w:jc w:val="both"/>
        <w:rPr>
          <w:rFonts w:ascii="Times New Roman" w:hAnsi="Times New Roman" w:cs="Times New Roman"/>
          <w:sz w:val="23"/>
          <w:szCs w:val="23"/>
          <w:lang w:val="ro-RO"/>
        </w:rPr>
      </w:pPr>
    </w:p>
    <w:p w14:paraId="05DC88CB"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Printre proiectele de interes promovate de România, incluse pe listă, în sectorul gazelor naturale, se regăsesc și proiecte de investiţii în scopul creşterii capacităţilor de înmagazinare subterană a gazelor naturale, respectiv proiectele promovate de ROMGAZ și Depomureș:</w:t>
      </w:r>
    </w:p>
    <w:p w14:paraId="787888A4" w14:textId="77777777" w:rsidR="00C43C61" w:rsidRPr="007C266E" w:rsidRDefault="001B47A0" w:rsidP="002500F7">
      <w:pPr>
        <w:pStyle w:val="ListParagraph"/>
        <w:numPr>
          <w:ilvl w:val="0"/>
          <w:numId w:val="6"/>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w:t>
      </w:r>
      <w:r w:rsidR="00C43C61" w:rsidRPr="007C266E">
        <w:rPr>
          <w:rFonts w:ascii="Times New Roman" w:hAnsi="Times New Roman" w:cs="Times New Roman"/>
          <w:sz w:val="23"/>
          <w:szCs w:val="23"/>
          <w:lang w:val="ro-RO"/>
        </w:rPr>
        <w:t>reșterea capacității de înmagazinare subterană a gazelor naturale în dep</w:t>
      </w:r>
      <w:r w:rsidR="004235A6" w:rsidRPr="007C266E">
        <w:rPr>
          <w:rFonts w:ascii="Times New Roman" w:hAnsi="Times New Roman" w:cs="Times New Roman"/>
          <w:sz w:val="23"/>
          <w:szCs w:val="23"/>
          <w:lang w:val="ro-RO"/>
        </w:rPr>
        <w:t>ozitul Sărmășel;</w:t>
      </w:r>
    </w:p>
    <w:p w14:paraId="431F04EC" w14:textId="77777777" w:rsidR="00C43C61" w:rsidRPr="007C266E" w:rsidRDefault="001B47A0" w:rsidP="002500F7">
      <w:pPr>
        <w:pStyle w:val="ListParagraph"/>
        <w:numPr>
          <w:ilvl w:val="0"/>
          <w:numId w:val="6"/>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w:t>
      </w:r>
      <w:r w:rsidR="00C43C61" w:rsidRPr="007C266E">
        <w:rPr>
          <w:rFonts w:ascii="Times New Roman" w:hAnsi="Times New Roman" w:cs="Times New Roman"/>
          <w:sz w:val="23"/>
          <w:szCs w:val="23"/>
          <w:lang w:val="ro-RO"/>
        </w:rPr>
        <w:t>epozit de înmagazinare gaze naturale Depomureş</w:t>
      </w:r>
      <w:r w:rsidR="004235A6" w:rsidRPr="007C266E">
        <w:rPr>
          <w:rFonts w:ascii="Times New Roman" w:hAnsi="Times New Roman" w:cs="Times New Roman"/>
          <w:sz w:val="23"/>
          <w:szCs w:val="23"/>
          <w:lang w:val="ro-RO"/>
        </w:rPr>
        <w:t>.</w:t>
      </w:r>
    </w:p>
    <w:p w14:paraId="180CA9A1"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38D43B70" w14:textId="77777777" w:rsidR="004235A6" w:rsidRPr="007C266E" w:rsidRDefault="00C43C61"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Înmagazinarea subterană a gazelor naturale reprezintă un instrument de asigurare a securității energetice naționale. </w:t>
      </w:r>
    </w:p>
    <w:p w14:paraId="40F90923" w14:textId="77777777" w:rsidR="004235A6" w:rsidRPr="007C266E" w:rsidRDefault="004235A6" w:rsidP="009E5804">
      <w:pPr>
        <w:spacing w:after="0" w:line="240" w:lineRule="auto"/>
        <w:jc w:val="both"/>
        <w:rPr>
          <w:rFonts w:ascii="Times New Roman" w:hAnsi="Times New Roman" w:cs="Times New Roman"/>
          <w:sz w:val="23"/>
          <w:szCs w:val="23"/>
          <w:lang w:val="ro-RO"/>
        </w:rPr>
      </w:pPr>
    </w:p>
    <w:p w14:paraId="2CE04833"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Majorarea capacității zilnice de extracție, prin investiții care să </w:t>
      </w:r>
      <w:r w:rsidR="0026232D" w:rsidRPr="007C266E">
        <w:rPr>
          <w:rFonts w:ascii="Times New Roman" w:hAnsi="Times New Roman" w:cs="Times New Roman"/>
          <w:sz w:val="23"/>
          <w:szCs w:val="23"/>
          <w:lang w:val="ro-RO"/>
        </w:rPr>
        <w:t>diminueze</w:t>
      </w:r>
      <w:r w:rsidRPr="007C266E">
        <w:rPr>
          <w:rFonts w:ascii="Times New Roman" w:hAnsi="Times New Roman" w:cs="Times New Roman"/>
          <w:sz w:val="23"/>
          <w:szCs w:val="23"/>
          <w:lang w:val="ro-RO"/>
        </w:rPr>
        <w:t xml:space="preserve"> dependența capacității zilnice de extracție de presiunea de zăcământ constituie o necesitate stringentă în domeniul înmagazinării.</w:t>
      </w:r>
    </w:p>
    <w:p w14:paraId="333EA71E"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59DF488"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Distribuția gazelor naturale</w:t>
      </w:r>
    </w:p>
    <w:p w14:paraId="17BAB597" w14:textId="77777777" w:rsidR="004C0FC3" w:rsidRPr="007C266E" w:rsidRDefault="004C0FC3" w:rsidP="009E5804">
      <w:pPr>
        <w:spacing w:before="120"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ceea ce privește accesul la gaze naturale, mai puțin de jumătate din gospodăriile din România sunt racordate la rețeaua de gaze </w:t>
      </w:r>
      <w:r w:rsidRPr="007C266E">
        <w:rPr>
          <w:rFonts w:ascii="Times New Roman" w:hAnsi="Times New Roman" w:cs="Times New Roman"/>
          <w:sz w:val="23"/>
          <w:szCs w:val="23"/>
          <w:lang w:val="ro-RO"/>
        </w:rPr>
        <w:lastRenderedPageBreak/>
        <w:t>naturale (aproximativ 44%), o treime din locuințele României fiind încălzite direct cu gaz natural. De asemenea, consumul mediu de gaze naturale al unui consumator casnic este inferior mediei UE.</w:t>
      </w:r>
    </w:p>
    <w:p w14:paraId="70D50D76" w14:textId="77777777" w:rsidR="00855657"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Sistemul de distribuție a gazelor naturale este format din circa 43.000 km de conducte - din care 39.000 km sunt operate de cei doi mari distribuitori, Delgaz Grid (20.000 km) şi Distrigaz Sud Reţele (19.000 km) - care alimentează aproximativ 3,5 milioane de consumatori. Pe piața gazelor naturale din România, mai activează alți 35 de operatori locali ai sistemelor de distribuţie, care op</w:t>
      </w:r>
      <w:r w:rsidR="00EE4C0C" w:rsidRPr="007C266E">
        <w:rPr>
          <w:rFonts w:ascii="Times New Roman" w:hAnsi="Times New Roman" w:cs="Times New Roman"/>
          <w:sz w:val="23"/>
          <w:szCs w:val="23"/>
          <w:lang w:val="ro-RO"/>
        </w:rPr>
        <w:t xml:space="preserve">erează cca. 4.000 km de rețea. </w:t>
      </w:r>
    </w:p>
    <w:p w14:paraId="38725D21" w14:textId="77777777" w:rsidR="004C0FC3" w:rsidRPr="007C266E" w:rsidRDefault="004C0FC3" w:rsidP="009E5804">
      <w:pPr>
        <w:spacing w:after="0" w:line="240" w:lineRule="auto"/>
        <w:jc w:val="both"/>
        <w:rPr>
          <w:rFonts w:ascii="Times New Roman" w:hAnsi="Times New Roman" w:cs="Times New Roman"/>
          <w:sz w:val="23"/>
          <w:szCs w:val="23"/>
          <w:lang w:val="ro-RO"/>
        </w:rPr>
      </w:pPr>
    </w:p>
    <w:p w14:paraId="39C608D7" w14:textId="77777777" w:rsidR="00C43C61" w:rsidRPr="007C266E" w:rsidRDefault="00C43C61" w:rsidP="004B4A53">
      <w:pPr>
        <w:pStyle w:val="Heading3"/>
        <w:spacing w:line="240" w:lineRule="auto"/>
        <w:rPr>
          <w:rFonts w:ascii="Times New Roman" w:hAnsi="Times New Roman" w:cs="Times New Roman"/>
          <w:sz w:val="23"/>
          <w:szCs w:val="23"/>
          <w:lang w:val="ro-RO"/>
        </w:rPr>
      </w:pPr>
      <w:bookmarkStart w:id="41" w:name="_Toc44400873"/>
      <w:r w:rsidRPr="007C266E">
        <w:rPr>
          <w:rFonts w:ascii="Times New Roman" w:hAnsi="Times New Roman" w:cs="Times New Roman"/>
          <w:sz w:val="23"/>
          <w:szCs w:val="23"/>
          <w:lang w:val="ro-RO"/>
        </w:rPr>
        <w:t>IV.4.4.</w:t>
      </w:r>
      <w:r w:rsidRPr="007C266E">
        <w:rPr>
          <w:rFonts w:ascii="Times New Roman" w:hAnsi="Times New Roman" w:cs="Times New Roman"/>
          <w:sz w:val="23"/>
          <w:szCs w:val="23"/>
          <w:lang w:val="ro-RO"/>
        </w:rPr>
        <w:tab/>
        <w:t>Energie electrică</w:t>
      </w:r>
      <w:bookmarkEnd w:id="41"/>
    </w:p>
    <w:p w14:paraId="7D4E003C" w14:textId="77777777" w:rsidR="00307D34" w:rsidRPr="007C266E" w:rsidRDefault="00307D34" w:rsidP="006E1D2D">
      <w:pPr>
        <w:spacing w:after="0" w:line="240" w:lineRule="auto"/>
        <w:jc w:val="both"/>
        <w:rPr>
          <w:rFonts w:ascii="Times New Roman" w:hAnsi="Times New Roman" w:cs="Times New Roman"/>
          <w:i/>
          <w:sz w:val="23"/>
          <w:szCs w:val="23"/>
          <w:lang w:val="ro-RO"/>
        </w:rPr>
      </w:pPr>
    </w:p>
    <w:p w14:paraId="346BFFB9" w14:textId="77777777" w:rsidR="00C43C61" w:rsidRPr="007C266E" w:rsidRDefault="00C43C61" w:rsidP="0038022C">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Consumul de energie electrică</w:t>
      </w:r>
    </w:p>
    <w:p w14:paraId="2E3E34D9" w14:textId="77777777" w:rsidR="00C43C61" w:rsidRPr="007C266E" w:rsidRDefault="00C43C61"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237E3E1A" w14:textId="77777777" w:rsidR="00C43C61" w:rsidRPr="007C266E" w:rsidRDefault="00C43C61"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Consumul total de energie electrică a înregistrat o scădere substanțială de la 60 TWh în 1990 la </w:t>
      </w:r>
      <w:r w:rsidR="00914863" w:rsidRPr="007C266E">
        <w:rPr>
          <w:rFonts w:ascii="Times New Roman" w:hAnsi="Times New Roman" w:cs="Times New Roman"/>
          <w:sz w:val="23"/>
          <w:szCs w:val="23"/>
          <w:lang w:val="ro-RO"/>
        </w:rPr>
        <w:t xml:space="preserve">39 </w:t>
      </w:r>
      <w:r w:rsidRPr="007C266E">
        <w:rPr>
          <w:rFonts w:ascii="Times New Roman" w:hAnsi="Times New Roman" w:cs="Times New Roman"/>
          <w:sz w:val="23"/>
          <w:szCs w:val="23"/>
          <w:lang w:val="ro-RO"/>
        </w:rPr>
        <w:t>TWh în 1999 (Eurostat 20</w:t>
      </w:r>
      <w:r w:rsidR="00914863" w:rsidRPr="007C266E">
        <w:rPr>
          <w:rFonts w:ascii="Times New Roman" w:hAnsi="Times New Roman" w:cs="Times New Roman"/>
          <w:sz w:val="23"/>
          <w:szCs w:val="23"/>
          <w:lang w:val="ro-RO"/>
        </w:rPr>
        <w:t xml:space="preserve">20, </w:t>
      </w:r>
      <w:r w:rsidR="00914863" w:rsidRPr="007C266E">
        <w:rPr>
          <w:rFonts w:ascii="Times New Roman" w:hAnsi="Times New Roman" w:cs="Times New Roman"/>
          <w:i/>
          <w:sz w:val="23"/>
          <w:szCs w:val="23"/>
          <w:lang w:val="ro-RO"/>
        </w:rPr>
        <w:t>[nrg_cb_e]</w:t>
      </w:r>
      <w:r w:rsidRPr="007C266E">
        <w:rPr>
          <w:rFonts w:ascii="Times New Roman" w:hAnsi="Times New Roman" w:cs="Times New Roman"/>
          <w:sz w:val="23"/>
          <w:szCs w:val="23"/>
          <w:lang w:val="ro-RO"/>
        </w:rPr>
        <w:t xml:space="preserve">), în principal pe fondul contractării activității industriale, după care a crescut până la 48 TWh în 2008. </w:t>
      </w:r>
    </w:p>
    <w:p w14:paraId="3D213A0C" w14:textId="77777777" w:rsidR="00C43C61" w:rsidRPr="007C266E" w:rsidRDefault="00C43C61" w:rsidP="002F5C09">
      <w:pPr>
        <w:spacing w:after="0" w:line="240" w:lineRule="auto"/>
        <w:jc w:val="both"/>
        <w:rPr>
          <w:rFonts w:ascii="Times New Roman" w:hAnsi="Times New Roman" w:cs="Times New Roman"/>
          <w:sz w:val="23"/>
          <w:szCs w:val="23"/>
          <w:lang w:val="ro-RO"/>
        </w:rPr>
      </w:pPr>
    </w:p>
    <w:p w14:paraId="3EBCA697"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Criza economică din 2008-2009 a cauzat o nouă scădere a consumului, urmată de o revenire graduală la </w:t>
      </w:r>
      <w:r w:rsidR="00914863" w:rsidRPr="007C266E">
        <w:rPr>
          <w:rFonts w:ascii="Times New Roman" w:hAnsi="Times New Roman" w:cs="Times New Roman"/>
          <w:sz w:val="23"/>
          <w:szCs w:val="23"/>
          <w:lang w:val="ro-RO"/>
        </w:rPr>
        <w:t xml:space="preserve">50 </w:t>
      </w:r>
      <w:r w:rsidRPr="007C266E">
        <w:rPr>
          <w:rFonts w:ascii="Times New Roman" w:hAnsi="Times New Roman" w:cs="Times New Roman"/>
          <w:sz w:val="23"/>
          <w:szCs w:val="23"/>
          <w:lang w:val="ro-RO"/>
        </w:rPr>
        <w:t>TWh în 201</w:t>
      </w:r>
      <w:r w:rsidR="00914863" w:rsidRPr="007C266E">
        <w:rPr>
          <w:rFonts w:ascii="Times New Roman" w:hAnsi="Times New Roman" w:cs="Times New Roman"/>
          <w:sz w:val="23"/>
          <w:szCs w:val="23"/>
          <w:lang w:val="ro-RO"/>
        </w:rPr>
        <w:t>8</w:t>
      </w:r>
      <w:r w:rsidR="00005415" w:rsidRPr="007C266E">
        <w:rPr>
          <w:rFonts w:ascii="Times New Roman" w:hAnsi="Times New Roman" w:cs="Times New Roman"/>
          <w:sz w:val="23"/>
          <w:szCs w:val="23"/>
          <w:lang w:val="ro-RO"/>
        </w:rPr>
        <w:t>.</w:t>
      </w:r>
    </w:p>
    <w:p w14:paraId="664FCC97"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E689F9D"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Potrivit datelor Eurostat publicate în </w:t>
      </w:r>
      <w:r w:rsidR="00914863" w:rsidRPr="007C266E">
        <w:rPr>
          <w:rFonts w:ascii="Times New Roman" w:hAnsi="Times New Roman" w:cs="Times New Roman"/>
          <w:sz w:val="23"/>
          <w:szCs w:val="23"/>
          <w:lang w:val="ro-RO"/>
        </w:rPr>
        <w:t>aprilie 2020</w:t>
      </w:r>
      <w:r w:rsidRPr="007C266E">
        <w:rPr>
          <w:rFonts w:ascii="Times New Roman" w:hAnsi="Times New Roman" w:cs="Times New Roman"/>
          <w:sz w:val="23"/>
          <w:szCs w:val="23"/>
          <w:lang w:val="ro-RO"/>
        </w:rPr>
        <w:t>, România a avut în 201</w:t>
      </w:r>
      <w:r w:rsidR="00914863" w:rsidRPr="007C266E">
        <w:rPr>
          <w:rFonts w:ascii="Times New Roman" w:hAnsi="Times New Roman" w:cs="Times New Roman"/>
          <w:sz w:val="23"/>
          <w:szCs w:val="23"/>
          <w:lang w:val="ro-RO"/>
        </w:rPr>
        <w:t>9 (semestrul 2)</w:t>
      </w:r>
      <w:r w:rsidRPr="007C266E">
        <w:rPr>
          <w:rFonts w:ascii="Times New Roman" w:hAnsi="Times New Roman" w:cs="Times New Roman"/>
          <w:sz w:val="23"/>
          <w:szCs w:val="23"/>
          <w:lang w:val="ro-RO"/>
        </w:rPr>
        <w:t xml:space="preserve"> al șaselea cel mai mic preț mediu din UE al energiei electrice pentru consumatorii casnici</w:t>
      </w:r>
      <w:r w:rsidR="00914863" w:rsidRPr="007C266E">
        <w:rPr>
          <w:rFonts w:ascii="Times New Roman" w:hAnsi="Times New Roman" w:cs="Times New Roman"/>
          <w:sz w:val="23"/>
          <w:szCs w:val="23"/>
          <w:lang w:val="ro-RO"/>
        </w:rPr>
        <w:t xml:space="preserve"> (bandă consum anual între 2.500-5.000 kWh, Eurostat, </w:t>
      </w:r>
      <w:r w:rsidR="00914863" w:rsidRPr="007C266E">
        <w:rPr>
          <w:rFonts w:ascii="Times New Roman" w:hAnsi="Times New Roman" w:cs="Times New Roman"/>
          <w:i/>
          <w:sz w:val="23"/>
          <w:szCs w:val="23"/>
          <w:lang w:val="ro-RO"/>
        </w:rPr>
        <w:t>[nrg_pc_204]</w:t>
      </w:r>
      <w:r w:rsidR="00914863"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Totuși, dată fiind puterea relativ scăzută de cumpărare, suportabilitatea prețului este o problemă de prim ordin, care duce la un nivel ridicat de sărăcie energetică. Mai mult, consu</w:t>
      </w:r>
      <w:r w:rsidR="004E48ED" w:rsidRPr="007C266E">
        <w:rPr>
          <w:rFonts w:ascii="Times New Roman" w:hAnsi="Times New Roman" w:cs="Times New Roman"/>
          <w:sz w:val="23"/>
          <w:szCs w:val="23"/>
          <w:lang w:val="ro-RO"/>
        </w:rPr>
        <w:t>mul este afectat si de faptul că</w:t>
      </w:r>
      <w:r w:rsidRPr="007C266E">
        <w:rPr>
          <w:rFonts w:ascii="Times New Roman" w:hAnsi="Times New Roman" w:cs="Times New Roman"/>
          <w:sz w:val="23"/>
          <w:szCs w:val="23"/>
          <w:lang w:val="ro-RO"/>
        </w:rPr>
        <w:t xml:space="preserve"> aproape 100.000 de locuințe din România (din care o parte nu sunt locuite permanent) nu sunt conectate la rețeaua de energie electrică; cele mai potrivite pentru ele </w:t>
      </w:r>
      <w:r w:rsidR="00597E60" w:rsidRPr="007C266E">
        <w:rPr>
          <w:rFonts w:ascii="Times New Roman" w:hAnsi="Times New Roman" w:cs="Times New Roman"/>
          <w:sz w:val="23"/>
          <w:szCs w:val="23"/>
          <w:lang w:val="ro-RO"/>
        </w:rPr>
        <w:t>fiind</w:t>
      </w:r>
      <w:r w:rsidRPr="007C266E">
        <w:rPr>
          <w:rFonts w:ascii="Times New Roman" w:hAnsi="Times New Roman" w:cs="Times New Roman"/>
          <w:sz w:val="23"/>
          <w:szCs w:val="23"/>
          <w:lang w:val="ro-RO"/>
        </w:rPr>
        <w:t xml:space="preserve"> sistemele izolate</w:t>
      </w:r>
      <w:r w:rsidR="00005415"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de producere si distribuţie a energiei.</w:t>
      </w:r>
    </w:p>
    <w:p w14:paraId="2EC00CF3"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8BD81A0" w14:textId="77777777" w:rsidR="00EE4C0C"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 xml:space="preserve">Există o rezervă însemnată de îmbunătățire a eficienței în consumul brut de energie electrică, date fiind pierderile de transformare, respectiv cele din rețelele de transport și distribuție. Pe de altă parte, consumul de energie electrică se poate extinde în sectoare noi. </w:t>
      </w:r>
    </w:p>
    <w:p w14:paraId="39228535" w14:textId="77777777" w:rsidR="00EE4C0C" w:rsidRPr="007C266E" w:rsidRDefault="00EE4C0C" w:rsidP="009E5804">
      <w:pPr>
        <w:spacing w:after="0" w:line="240" w:lineRule="auto"/>
        <w:jc w:val="both"/>
        <w:rPr>
          <w:rFonts w:ascii="Times New Roman" w:hAnsi="Times New Roman" w:cs="Times New Roman"/>
          <w:sz w:val="23"/>
          <w:szCs w:val="23"/>
          <w:lang w:val="ro-RO"/>
        </w:rPr>
      </w:pPr>
    </w:p>
    <w:p w14:paraId="7C5D10ED" w14:textId="77777777" w:rsidR="00C43C61" w:rsidRPr="007C266E" w:rsidRDefault="00C43C61"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Dezvoltarea economică a țării poate duce la creșterea consumului de energie electrică</w:t>
      </w:r>
      <w:r w:rsidR="00005415" w:rsidRPr="007C266E">
        <w:rPr>
          <w:rFonts w:ascii="Times New Roman" w:hAnsi="Times New Roman" w:cs="Times New Roman"/>
          <w:b/>
          <w:sz w:val="23"/>
          <w:szCs w:val="23"/>
          <w:lang w:val="ro-RO"/>
        </w:rPr>
        <w:t xml:space="preserve"> atât în industrie, </w:t>
      </w:r>
      <w:r w:rsidR="00786040" w:rsidRPr="007C266E">
        <w:rPr>
          <w:rFonts w:ascii="Times New Roman" w:hAnsi="Times New Roman" w:cs="Times New Roman"/>
          <w:b/>
          <w:sz w:val="23"/>
          <w:szCs w:val="23"/>
          <w:lang w:val="ro-RO"/>
        </w:rPr>
        <w:t xml:space="preserve">transporturi, </w:t>
      </w:r>
      <w:r w:rsidR="00005415" w:rsidRPr="007C266E">
        <w:rPr>
          <w:rFonts w:ascii="Times New Roman" w:hAnsi="Times New Roman" w:cs="Times New Roman"/>
          <w:b/>
          <w:sz w:val="23"/>
          <w:szCs w:val="23"/>
          <w:lang w:val="ro-RO"/>
        </w:rPr>
        <w:t>cât</w:t>
      </w:r>
      <w:r w:rsidRPr="007C266E">
        <w:rPr>
          <w:rFonts w:ascii="Times New Roman" w:hAnsi="Times New Roman" w:cs="Times New Roman"/>
          <w:b/>
          <w:sz w:val="23"/>
          <w:szCs w:val="23"/>
          <w:lang w:val="ro-RO"/>
        </w:rPr>
        <w:t xml:space="preserve"> și în agricultură.</w:t>
      </w:r>
    </w:p>
    <w:p w14:paraId="195F49AA" w14:textId="77777777" w:rsidR="00F711E9" w:rsidRPr="007C266E" w:rsidRDefault="00F711E9" w:rsidP="009E5804">
      <w:pPr>
        <w:spacing w:after="0" w:line="240" w:lineRule="auto"/>
        <w:jc w:val="both"/>
        <w:rPr>
          <w:rFonts w:ascii="Times New Roman" w:hAnsi="Times New Roman" w:cs="Times New Roman"/>
          <w:i/>
          <w:sz w:val="23"/>
          <w:szCs w:val="23"/>
          <w:lang w:val="ro-RO"/>
        </w:rPr>
      </w:pPr>
    </w:p>
    <w:p w14:paraId="6A4E6E31" w14:textId="77777777" w:rsidR="00E47896" w:rsidRDefault="00E47896" w:rsidP="009E5804">
      <w:pPr>
        <w:spacing w:after="0" w:line="240" w:lineRule="auto"/>
        <w:jc w:val="both"/>
        <w:rPr>
          <w:rFonts w:ascii="Times New Roman" w:hAnsi="Times New Roman" w:cs="Times New Roman"/>
          <w:i/>
          <w:sz w:val="23"/>
          <w:szCs w:val="23"/>
          <w:lang w:val="ro-RO"/>
        </w:rPr>
      </w:pPr>
    </w:p>
    <w:p w14:paraId="5E51B9BA"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Producția de energie electrică</w:t>
      </w:r>
    </w:p>
    <w:p w14:paraId="004EF635"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047F65D"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România are un mix diversificat de energie electrică, bazat în cea mai mare parte pe resursele energetice </w:t>
      </w:r>
      <w:r w:rsidR="00912C40" w:rsidRPr="007C266E">
        <w:rPr>
          <w:rFonts w:ascii="Times New Roman" w:hAnsi="Times New Roman" w:cs="Times New Roman"/>
          <w:sz w:val="23"/>
          <w:szCs w:val="23"/>
          <w:lang w:val="ro-RO"/>
        </w:rPr>
        <w:t>interne.</w:t>
      </w:r>
    </w:p>
    <w:p w14:paraId="13C346F3" w14:textId="77777777" w:rsidR="005814CF" w:rsidRPr="007C266E" w:rsidRDefault="005814CF" w:rsidP="009E5804">
      <w:pPr>
        <w:spacing w:after="0" w:line="240" w:lineRule="auto"/>
        <w:jc w:val="both"/>
        <w:rPr>
          <w:rFonts w:ascii="Times New Roman" w:hAnsi="Times New Roman" w:cs="Times New Roman"/>
          <w:sz w:val="23"/>
          <w:szCs w:val="23"/>
          <w:lang w:val="ro-RO"/>
        </w:rPr>
      </w:pPr>
    </w:p>
    <w:p w14:paraId="45858F33" w14:textId="77777777" w:rsidR="002E4AC2" w:rsidRPr="007C266E" w:rsidRDefault="002E4AC2"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noProof/>
          <w:sz w:val="23"/>
          <w:szCs w:val="23"/>
        </w:rPr>
        <w:drawing>
          <wp:inline distT="0" distB="0" distL="0" distR="0" wp14:anchorId="71483872" wp14:editId="7AAA745B">
            <wp:extent cx="2814984" cy="1661823"/>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891" cy="1668852"/>
                    </a:xfrm>
                    <a:prstGeom prst="rect">
                      <a:avLst/>
                    </a:prstGeom>
                    <a:noFill/>
                  </pic:spPr>
                </pic:pic>
              </a:graphicData>
            </a:graphic>
          </wp:inline>
        </w:drawing>
      </w:r>
    </w:p>
    <w:p w14:paraId="2FD376D6" w14:textId="77777777" w:rsidR="008552AE" w:rsidRPr="007C266E" w:rsidRDefault="008552AE" w:rsidP="009E5804">
      <w:pPr>
        <w:spacing w:after="0" w:line="240" w:lineRule="auto"/>
        <w:jc w:val="both"/>
        <w:rPr>
          <w:rFonts w:ascii="Times New Roman" w:hAnsi="Times New Roman" w:cs="Times New Roman"/>
          <w:sz w:val="23"/>
          <w:szCs w:val="23"/>
          <w:lang w:val="ro-RO"/>
        </w:rPr>
      </w:pPr>
    </w:p>
    <w:p w14:paraId="5E82CB61"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O mare parte a capacităților de generare sunt mai vechi de 30 de ani, cu un număr relativ redus de ore de operare rămase până la expirarea duratei tehnice de funcționare. Grupurile vechi sunt frecvent oprite pentru reparații și mentenanță, unele fiind în conservare. Există o diferență de aproape 3</w:t>
      </w:r>
      <w:r w:rsidR="004E48ED"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400 MW între puterea brută instalată și puterea brută disponibilă, din care circa 3</w:t>
      </w:r>
      <w:r w:rsidR="004E48ED"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000 MW sunt capacități pe bază de cărbune și de gaz</w:t>
      </w:r>
      <w:r w:rsidR="004E48ED"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natural</w:t>
      </w:r>
      <w:r w:rsidR="004E48ED"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w:t>
      </w:r>
    </w:p>
    <w:p w14:paraId="5AC127B2" w14:textId="77777777" w:rsidR="00005415" w:rsidRPr="007C266E" w:rsidRDefault="00005415" w:rsidP="009E5804">
      <w:pPr>
        <w:spacing w:after="0" w:line="240" w:lineRule="auto"/>
        <w:jc w:val="both"/>
        <w:rPr>
          <w:rFonts w:ascii="Times New Roman" w:hAnsi="Times New Roman" w:cs="Times New Roman"/>
          <w:sz w:val="23"/>
          <w:szCs w:val="23"/>
          <w:lang w:val="ro-RO"/>
        </w:rPr>
      </w:pPr>
    </w:p>
    <w:p w14:paraId="3F1CC13D" w14:textId="77777777" w:rsidR="00005415"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Diversitatea mixului energetic a permis menținerea rezilienței SEN, cu depășirea situațiilor de stres generate de condiții meteorologice extreme. </w:t>
      </w:r>
      <w:r w:rsidR="0026232D" w:rsidRPr="007C266E">
        <w:rPr>
          <w:rFonts w:ascii="Times New Roman" w:hAnsi="Times New Roman" w:cs="Times New Roman"/>
          <w:sz w:val="23"/>
          <w:szCs w:val="23"/>
          <w:lang w:val="ro-RO"/>
        </w:rPr>
        <w:t>Situația</w:t>
      </w:r>
      <w:r w:rsidRPr="007C266E">
        <w:rPr>
          <w:rFonts w:ascii="Times New Roman" w:hAnsi="Times New Roman" w:cs="Times New Roman"/>
          <w:sz w:val="23"/>
          <w:szCs w:val="23"/>
          <w:lang w:val="ro-RO"/>
        </w:rPr>
        <w:t xml:space="preserve"> temperaturilor extreme </w:t>
      </w:r>
      <w:r w:rsidR="0026232D" w:rsidRPr="007C266E">
        <w:rPr>
          <w:rFonts w:ascii="Times New Roman" w:hAnsi="Times New Roman" w:cs="Times New Roman"/>
          <w:sz w:val="23"/>
          <w:szCs w:val="23"/>
          <w:lang w:val="ro-RO"/>
        </w:rPr>
        <w:t>reprezintă</w:t>
      </w:r>
      <w:r w:rsidRPr="007C266E">
        <w:rPr>
          <w:rFonts w:ascii="Times New Roman" w:hAnsi="Times New Roman" w:cs="Times New Roman"/>
          <w:sz w:val="23"/>
          <w:szCs w:val="23"/>
          <w:lang w:val="ro-RO"/>
        </w:rPr>
        <w:t xml:space="preserve"> o specificitate a regiunii, </w:t>
      </w:r>
      <w:r w:rsidRPr="007C266E">
        <w:rPr>
          <w:rFonts w:ascii="Times New Roman" w:hAnsi="Times New Roman" w:cs="Times New Roman"/>
          <w:sz w:val="23"/>
          <w:szCs w:val="23"/>
          <w:lang w:val="ro-RO"/>
        </w:rPr>
        <w:lastRenderedPageBreak/>
        <w:t xml:space="preserve">când SEN este supus </w:t>
      </w:r>
      <w:r w:rsidR="0026232D" w:rsidRPr="007C266E">
        <w:rPr>
          <w:rFonts w:ascii="Times New Roman" w:hAnsi="Times New Roman" w:cs="Times New Roman"/>
          <w:sz w:val="23"/>
          <w:szCs w:val="23"/>
          <w:lang w:val="ro-RO"/>
        </w:rPr>
        <w:t>vulnerabilităților</w:t>
      </w:r>
      <w:r w:rsidR="004E48ED" w:rsidRPr="007C266E">
        <w:rPr>
          <w:rFonts w:ascii="Times New Roman" w:hAnsi="Times New Roman" w:cs="Times New Roman"/>
          <w:sz w:val="23"/>
          <w:szCs w:val="23"/>
          <w:lang w:val="ro-RO"/>
        </w:rPr>
        <w:t xml:space="preserve"> în asigurarea integrală</w:t>
      </w:r>
      <w:r w:rsidRPr="007C266E">
        <w:rPr>
          <w:rFonts w:ascii="Times New Roman" w:hAnsi="Times New Roman" w:cs="Times New Roman"/>
          <w:sz w:val="23"/>
          <w:szCs w:val="23"/>
          <w:lang w:val="ro-RO"/>
        </w:rPr>
        <w:t xml:space="preserve"> a acoperirii cererii de energie atât pentru consumul intern cât și pentru export, in </w:t>
      </w:r>
      <w:r w:rsidR="0026232D" w:rsidRPr="007C266E">
        <w:rPr>
          <w:rFonts w:ascii="Times New Roman" w:hAnsi="Times New Roman" w:cs="Times New Roman"/>
          <w:sz w:val="23"/>
          <w:szCs w:val="23"/>
          <w:lang w:val="ro-RO"/>
        </w:rPr>
        <w:t>situația</w:t>
      </w:r>
      <w:r w:rsidRPr="007C266E">
        <w:rPr>
          <w:rFonts w:ascii="Times New Roman" w:hAnsi="Times New Roman" w:cs="Times New Roman"/>
          <w:sz w:val="23"/>
          <w:szCs w:val="23"/>
          <w:lang w:val="ro-RO"/>
        </w:rPr>
        <w:t xml:space="preserve"> in car</w:t>
      </w:r>
      <w:r w:rsidR="004E48ED" w:rsidRPr="007C266E">
        <w:rPr>
          <w:rFonts w:ascii="Times New Roman" w:hAnsi="Times New Roman" w:cs="Times New Roman"/>
          <w:sz w:val="23"/>
          <w:szCs w:val="23"/>
          <w:lang w:val="ro-RO"/>
        </w:rPr>
        <w:t>e si statele vecine se confruntă</w:t>
      </w:r>
      <w:r w:rsidRPr="007C266E">
        <w:rPr>
          <w:rFonts w:ascii="Times New Roman" w:hAnsi="Times New Roman" w:cs="Times New Roman"/>
          <w:sz w:val="23"/>
          <w:szCs w:val="23"/>
          <w:lang w:val="ro-RO"/>
        </w:rPr>
        <w:t xml:space="preserve"> cu </w:t>
      </w:r>
      <w:r w:rsidR="0026232D" w:rsidRPr="007C266E">
        <w:rPr>
          <w:rFonts w:ascii="Times New Roman" w:hAnsi="Times New Roman" w:cs="Times New Roman"/>
          <w:sz w:val="23"/>
          <w:szCs w:val="23"/>
          <w:lang w:val="ro-RO"/>
        </w:rPr>
        <w:t>aceiași</w:t>
      </w:r>
      <w:r w:rsidRPr="007C266E">
        <w:rPr>
          <w:rFonts w:ascii="Times New Roman" w:hAnsi="Times New Roman" w:cs="Times New Roman"/>
          <w:sz w:val="23"/>
          <w:szCs w:val="23"/>
          <w:lang w:val="ro-RO"/>
        </w:rPr>
        <w:t xml:space="preserve"> </w:t>
      </w:r>
      <w:r w:rsidR="0026232D" w:rsidRPr="007C266E">
        <w:rPr>
          <w:rFonts w:ascii="Times New Roman" w:hAnsi="Times New Roman" w:cs="Times New Roman"/>
          <w:sz w:val="23"/>
          <w:szCs w:val="23"/>
          <w:lang w:val="ro-RO"/>
        </w:rPr>
        <w:t>situație</w:t>
      </w:r>
      <w:r w:rsidRPr="007C266E">
        <w:rPr>
          <w:rFonts w:ascii="Times New Roman" w:hAnsi="Times New Roman" w:cs="Times New Roman"/>
          <w:sz w:val="23"/>
          <w:szCs w:val="23"/>
          <w:lang w:val="ro-RO"/>
        </w:rPr>
        <w:t xml:space="preserve">. </w:t>
      </w:r>
    </w:p>
    <w:p w14:paraId="4D2E1860" w14:textId="77777777" w:rsidR="00005415" w:rsidRPr="007C266E" w:rsidRDefault="00005415" w:rsidP="009E5804">
      <w:pPr>
        <w:spacing w:after="0" w:line="240" w:lineRule="auto"/>
        <w:jc w:val="both"/>
        <w:rPr>
          <w:rFonts w:ascii="Times New Roman" w:hAnsi="Times New Roman" w:cs="Times New Roman"/>
          <w:sz w:val="23"/>
          <w:szCs w:val="23"/>
          <w:lang w:val="ro-RO"/>
        </w:rPr>
      </w:pPr>
    </w:p>
    <w:p w14:paraId="7C6A0532" w14:textId="77777777" w:rsidR="00C43C61" w:rsidRPr="007C266E" w:rsidRDefault="00005415"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asemenea </w:t>
      </w:r>
      <w:r w:rsidR="0026232D" w:rsidRPr="007C266E">
        <w:rPr>
          <w:rFonts w:ascii="Times New Roman" w:hAnsi="Times New Roman" w:cs="Times New Roman"/>
          <w:sz w:val="23"/>
          <w:szCs w:val="23"/>
          <w:lang w:val="ro-RO"/>
        </w:rPr>
        <w:t>condiții</w:t>
      </w:r>
      <w:r w:rsidRPr="007C266E">
        <w:rPr>
          <w:rFonts w:ascii="Times New Roman" w:hAnsi="Times New Roman" w:cs="Times New Roman"/>
          <w:sz w:val="23"/>
          <w:szCs w:val="23"/>
          <w:lang w:val="ro-RO"/>
        </w:rPr>
        <w:t xml:space="preserve">, </w:t>
      </w:r>
      <w:r w:rsidR="00C43C61" w:rsidRPr="007C266E">
        <w:rPr>
          <w:rFonts w:ascii="Times New Roman" w:hAnsi="Times New Roman" w:cs="Times New Roman"/>
          <w:sz w:val="23"/>
          <w:szCs w:val="23"/>
          <w:lang w:val="ro-RO"/>
        </w:rPr>
        <w:t>România se numără printre cele 14 state membre UE care își mențin opțiunea de utilizare a energiei nucleare. În prezent, energia electrică produsă prin fisiune nucl</w:t>
      </w:r>
      <w:r w:rsidR="00786040" w:rsidRPr="007C266E">
        <w:rPr>
          <w:rFonts w:ascii="Times New Roman" w:hAnsi="Times New Roman" w:cs="Times New Roman"/>
          <w:sz w:val="23"/>
          <w:szCs w:val="23"/>
          <w:lang w:val="ro-RO"/>
        </w:rPr>
        <w:t>eară acoperă circa 18</w:t>
      </w:r>
      <w:r w:rsidR="00C43C61" w:rsidRPr="007C266E">
        <w:rPr>
          <w:rFonts w:ascii="Times New Roman" w:hAnsi="Times New Roman" w:cs="Times New Roman"/>
          <w:sz w:val="23"/>
          <w:szCs w:val="23"/>
          <w:lang w:val="ro-RO"/>
        </w:rPr>
        <w:t>% din producția de energie electrică a țării prin cele două unități de la Cernavodă; p</w:t>
      </w:r>
      <w:r w:rsidRPr="007C266E">
        <w:rPr>
          <w:rFonts w:ascii="Times New Roman" w:hAnsi="Times New Roman" w:cs="Times New Roman"/>
          <w:sz w:val="23"/>
          <w:szCs w:val="23"/>
          <w:lang w:val="ro-RO"/>
        </w:rPr>
        <w:t xml:space="preserve">rocentul </w:t>
      </w:r>
      <w:r w:rsidR="00786040" w:rsidRPr="007C266E">
        <w:rPr>
          <w:rFonts w:ascii="Times New Roman" w:hAnsi="Times New Roman" w:cs="Times New Roman"/>
          <w:sz w:val="23"/>
          <w:szCs w:val="23"/>
          <w:lang w:val="ro-RO"/>
        </w:rPr>
        <w:t>va fi de circa</w:t>
      </w:r>
      <w:r w:rsidRPr="007C266E">
        <w:rPr>
          <w:rFonts w:ascii="Times New Roman" w:hAnsi="Times New Roman" w:cs="Times New Roman"/>
          <w:sz w:val="23"/>
          <w:szCs w:val="23"/>
          <w:lang w:val="ro-RO"/>
        </w:rPr>
        <w:t xml:space="preserve"> </w:t>
      </w:r>
      <w:r w:rsidR="00786040" w:rsidRPr="007C266E">
        <w:rPr>
          <w:rFonts w:ascii="Times New Roman" w:hAnsi="Times New Roman" w:cs="Times New Roman"/>
          <w:sz w:val="23"/>
          <w:szCs w:val="23"/>
          <w:lang w:val="ro-RO"/>
        </w:rPr>
        <w:t>28</w:t>
      </w:r>
      <w:r w:rsidRPr="007C266E">
        <w:rPr>
          <w:rFonts w:ascii="Times New Roman" w:hAnsi="Times New Roman" w:cs="Times New Roman"/>
          <w:sz w:val="23"/>
          <w:szCs w:val="23"/>
          <w:lang w:val="ro-RO"/>
        </w:rPr>
        <w:t xml:space="preserve">% </w:t>
      </w:r>
      <w:r w:rsidR="00786040" w:rsidRPr="007C266E">
        <w:rPr>
          <w:rFonts w:ascii="Times New Roman" w:hAnsi="Times New Roman" w:cs="Times New Roman"/>
          <w:sz w:val="23"/>
          <w:szCs w:val="23"/>
          <w:lang w:val="ro-RO"/>
        </w:rPr>
        <w:t xml:space="preserve">în 2035 </w:t>
      </w:r>
      <w:r w:rsidRPr="007C266E">
        <w:rPr>
          <w:rFonts w:ascii="Times New Roman" w:hAnsi="Times New Roman" w:cs="Times New Roman"/>
          <w:sz w:val="23"/>
          <w:szCs w:val="23"/>
          <w:lang w:val="ro-RO"/>
        </w:rPr>
        <w:t xml:space="preserve">prin realizarea celor două noi unități nucleare de la Cernavodă. </w:t>
      </w:r>
    </w:p>
    <w:p w14:paraId="0A5645B4" w14:textId="77777777" w:rsidR="00005415" w:rsidRPr="007C266E" w:rsidRDefault="00005415" w:rsidP="009E5804">
      <w:pPr>
        <w:spacing w:after="0" w:line="240" w:lineRule="auto"/>
        <w:jc w:val="both"/>
        <w:rPr>
          <w:rFonts w:ascii="Times New Roman" w:hAnsi="Times New Roman" w:cs="Times New Roman"/>
          <w:sz w:val="23"/>
          <w:szCs w:val="23"/>
          <w:lang w:val="ro-RO"/>
        </w:rPr>
      </w:pPr>
    </w:p>
    <w:p w14:paraId="2ABCCBA8" w14:textId="77777777" w:rsidR="00005415"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Prețul în creștere al certificatelor ETS va pune o presiune suplimentară asupra producătorilor pe bază de combustibili fosili. </w:t>
      </w:r>
      <w:r w:rsidR="00247E99" w:rsidRPr="007C266E">
        <w:rPr>
          <w:rFonts w:ascii="Times New Roman" w:hAnsi="Times New Roman" w:cs="Times New Roman"/>
          <w:sz w:val="23"/>
          <w:szCs w:val="23"/>
          <w:lang w:val="ro-RO"/>
        </w:rPr>
        <w:t xml:space="preserve">Capacitățile </w:t>
      </w:r>
      <w:r w:rsidRPr="007C266E">
        <w:rPr>
          <w:rFonts w:ascii="Times New Roman" w:hAnsi="Times New Roman" w:cs="Times New Roman"/>
          <w:sz w:val="23"/>
          <w:szCs w:val="23"/>
          <w:lang w:val="ro-RO"/>
        </w:rPr>
        <w:t>eficiente pe bază de gaz</w:t>
      </w:r>
      <w:r w:rsidR="004E48ED"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natura</w:t>
      </w:r>
      <w:r w:rsidR="00247E99" w:rsidRPr="007C266E">
        <w:rPr>
          <w:rFonts w:ascii="Times New Roman" w:hAnsi="Times New Roman" w:cs="Times New Roman"/>
          <w:sz w:val="23"/>
          <w:szCs w:val="23"/>
          <w:lang w:val="ro-RO"/>
        </w:rPr>
        <w:t>l</w:t>
      </w:r>
      <w:r w:rsidR="004E48ED"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au perspectiva unei poziționări competitive în mixul energetic, </w:t>
      </w:r>
      <w:r w:rsidR="00512FAD" w:rsidRPr="007C266E">
        <w:rPr>
          <w:rFonts w:ascii="Times New Roman" w:hAnsi="Times New Roman" w:cs="Times New Roman"/>
          <w:sz w:val="23"/>
          <w:szCs w:val="23"/>
          <w:lang w:val="ro-RO"/>
        </w:rPr>
        <w:t>datori</w:t>
      </w:r>
      <w:r w:rsidRPr="007C266E">
        <w:rPr>
          <w:rFonts w:ascii="Times New Roman" w:hAnsi="Times New Roman" w:cs="Times New Roman"/>
          <w:sz w:val="23"/>
          <w:szCs w:val="23"/>
          <w:lang w:val="ro-RO"/>
        </w:rPr>
        <w:t xml:space="preserve">tă emisiilor relativ reduse de GES și de noxe, precum și flexibilității și capacității lor de reglaj rapid. Ele sunt capabile să ofere servicii de sistem și rezervă pentru SRE intermitente. </w:t>
      </w:r>
    </w:p>
    <w:p w14:paraId="27DDA787" w14:textId="77777777" w:rsidR="00AE24F0" w:rsidRPr="007C266E" w:rsidRDefault="00AE24F0" w:rsidP="009E5804">
      <w:pPr>
        <w:spacing w:after="0" w:line="240" w:lineRule="auto"/>
        <w:jc w:val="both"/>
        <w:rPr>
          <w:rFonts w:ascii="Times New Roman" w:hAnsi="Times New Roman" w:cs="Times New Roman"/>
          <w:sz w:val="23"/>
          <w:szCs w:val="23"/>
          <w:lang w:val="ro-RO"/>
        </w:rPr>
      </w:pPr>
    </w:p>
    <w:p w14:paraId="7D70A20F"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Pe termen lung, oportunitatea </w:t>
      </w:r>
      <w:r w:rsidR="0026232D" w:rsidRPr="007C266E">
        <w:rPr>
          <w:rFonts w:ascii="Times New Roman" w:hAnsi="Times New Roman" w:cs="Times New Roman"/>
          <w:sz w:val="23"/>
          <w:szCs w:val="23"/>
          <w:lang w:val="ro-RO"/>
        </w:rPr>
        <w:t>instalării</w:t>
      </w:r>
      <w:r w:rsidRPr="007C266E">
        <w:rPr>
          <w:rFonts w:ascii="Times New Roman" w:hAnsi="Times New Roman" w:cs="Times New Roman"/>
          <w:sz w:val="23"/>
          <w:szCs w:val="23"/>
          <w:lang w:val="ro-RO"/>
        </w:rPr>
        <w:t xml:space="preserve"> de </w:t>
      </w:r>
      <w:r w:rsidR="0026232D" w:rsidRPr="007C266E">
        <w:rPr>
          <w:rFonts w:ascii="Times New Roman" w:hAnsi="Times New Roman" w:cs="Times New Roman"/>
          <w:sz w:val="23"/>
          <w:szCs w:val="23"/>
          <w:lang w:val="ro-RO"/>
        </w:rPr>
        <w:t>capacitați</w:t>
      </w:r>
      <w:r w:rsidRPr="007C266E">
        <w:rPr>
          <w:rFonts w:ascii="Times New Roman" w:hAnsi="Times New Roman" w:cs="Times New Roman"/>
          <w:sz w:val="23"/>
          <w:szCs w:val="23"/>
          <w:lang w:val="ro-RO"/>
        </w:rPr>
        <w:t xml:space="preserve"> noi pe bază de cărbune (de o nouă generație tehnologică) și pe bază de gaz</w:t>
      </w:r>
      <w:r w:rsidR="004E48ED"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natural</w:t>
      </w:r>
      <w:r w:rsidR="004E48ED"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va fi dat</w:t>
      </w:r>
      <w:r w:rsidR="00933814"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de evoluția pre</w:t>
      </w:r>
      <w:r w:rsidR="00933814"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urilor  certificatelor ETS, de necesitatea constituirii unei rezerve strategi</w:t>
      </w:r>
      <w:r w:rsidR="00005415" w:rsidRPr="007C266E">
        <w:rPr>
          <w:rFonts w:ascii="Times New Roman" w:hAnsi="Times New Roman" w:cs="Times New Roman"/>
          <w:sz w:val="23"/>
          <w:szCs w:val="23"/>
          <w:lang w:val="ro-RO"/>
        </w:rPr>
        <w:t xml:space="preserve">ce pentru </w:t>
      </w:r>
      <w:r w:rsidR="0026232D" w:rsidRPr="007C266E">
        <w:rPr>
          <w:rFonts w:ascii="Times New Roman" w:hAnsi="Times New Roman" w:cs="Times New Roman"/>
          <w:sz w:val="23"/>
          <w:szCs w:val="23"/>
          <w:lang w:val="ro-RO"/>
        </w:rPr>
        <w:t>siguranța</w:t>
      </w:r>
      <w:r w:rsidR="00005415" w:rsidRPr="007C266E">
        <w:rPr>
          <w:rFonts w:ascii="Times New Roman" w:hAnsi="Times New Roman" w:cs="Times New Roman"/>
          <w:sz w:val="23"/>
          <w:szCs w:val="23"/>
          <w:lang w:val="ro-RO"/>
        </w:rPr>
        <w:t xml:space="preserve"> SEN, de creș</w:t>
      </w:r>
      <w:r w:rsidRPr="007C266E">
        <w:rPr>
          <w:rFonts w:ascii="Times New Roman" w:hAnsi="Times New Roman" w:cs="Times New Roman"/>
          <w:sz w:val="23"/>
          <w:szCs w:val="23"/>
          <w:lang w:val="ro-RO"/>
        </w:rPr>
        <w:t xml:space="preserve">terea cererii de energie electrică, a performanței capacităților instalate, a prețurilor tehnologiilor (inclusiv a costurilor de operare și de mentenanță) </w:t>
      </w:r>
      <w:r w:rsidR="00933814"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 xml:space="preserve">i a </w:t>
      </w:r>
      <w:r w:rsidR="0026232D" w:rsidRPr="007C266E">
        <w:rPr>
          <w:rFonts w:ascii="Times New Roman" w:hAnsi="Times New Roman" w:cs="Times New Roman"/>
          <w:sz w:val="23"/>
          <w:szCs w:val="23"/>
          <w:lang w:val="ro-RO"/>
        </w:rPr>
        <w:t>sustenabilității</w:t>
      </w:r>
      <w:r w:rsidRPr="007C266E">
        <w:rPr>
          <w:rFonts w:ascii="Times New Roman" w:hAnsi="Times New Roman" w:cs="Times New Roman"/>
          <w:sz w:val="23"/>
          <w:szCs w:val="23"/>
          <w:lang w:val="ro-RO"/>
        </w:rPr>
        <w:t xml:space="preserve"> combustibililor indigeni. </w:t>
      </w:r>
    </w:p>
    <w:p w14:paraId="6506063E" w14:textId="77777777" w:rsidR="00081F04" w:rsidRPr="007C266E" w:rsidRDefault="00081F04" w:rsidP="009E5804">
      <w:pPr>
        <w:spacing w:after="0" w:line="240" w:lineRule="auto"/>
        <w:jc w:val="both"/>
        <w:rPr>
          <w:rFonts w:ascii="Times New Roman" w:hAnsi="Times New Roman" w:cs="Times New Roman"/>
          <w:sz w:val="23"/>
          <w:szCs w:val="23"/>
          <w:lang w:val="ro-RO"/>
        </w:rPr>
      </w:pPr>
    </w:p>
    <w:p w14:paraId="332A6ED6" w14:textId="77777777" w:rsidR="009E4301" w:rsidRPr="007C266E" w:rsidRDefault="00C43C61" w:rsidP="009E5804">
      <w:pPr>
        <w:spacing w:after="0" w:line="240" w:lineRule="auto"/>
        <w:jc w:val="both"/>
        <w:rPr>
          <w:rFonts w:ascii="Times New Roman" w:eastAsia="+mn-ea" w:hAnsi="Times New Roman" w:cs="Times New Roman"/>
          <w:kern w:val="24"/>
          <w:sz w:val="23"/>
          <w:szCs w:val="23"/>
          <w:lang w:val="ro-RO"/>
        </w:rPr>
      </w:pPr>
      <w:r w:rsidRPr="007C266E">
        <w:rPr>
          <w:rFonts w:ascii="Times New Roman" w:hAnsi="Times New Roman" w:cs="Times New Roman"/>
          <w:sz w:val="23"/>
          <w:szCs w:val="23"/>
          <w:lang w:val="ro-RO"/>
        </w:rPr>
        <w:t>Hidroenergia constituie principal</w:t>
      </w:r>
      <w:r w:rsidR="006403D7" w:rsidRPr="007C266E">
        <w:rPr>
          <w:rFonts w:ascii="Times New Roman" w:hAnsi="Times New Roman" w:cs="Times New Roman"/>
          <w:sz w:val="23"/>
          <w:szCs w:val="23"/>
          <w:lang w:val="ro-RO"/>
        </w:rPr>
        <w:t xml:space="preserve">a sursă de energie curată, care împreună cu </w:t>
      </w:r>
      <w:r w:rsidRPr="007C266E">
        <w:rPr>
          <w:rFonts w:ascii="Times New Roman" w:hAnsi="Times New Roman" w:cs="Times New Roman"/>
          <w:sz w:val="23"/>
          <w:szCs w:val="23"/>
          <w:lang w:val="ro-RO"/>
        </w:rPr>
        <w:t>SRE</w:t>
      </w:r>
      <w:r w:rsidR="006403D7" w:rsidRPr="007C266E">
        <w:rPr>
          <w:rFonts w:ascii="Times New Roman" w:hAnsi="Times New Roman" w:cs="Times New Roman"/>
          <w:sz w:val="23"/>
          <w:szCs w:val="23"/>
          <w:lang w:val="ro-RO"/>
        </w:rPr>
        <w:t>, acoperă cca.</w:t>
      </w:r>
      <w:r w:rsidR="000A3613" w:rsidRPr="007C266E">
        <w:rPr>
          <w:rFonts w:ascii="Times New Roman" w:hAnsi="Times New Roman" w:cs="Times New Roman"/>
          <w:sz w:val="23"/>
          <w:szCs w:val="23"/>
          <w:lang w:val="ro-RO"/>
        </w:rPr>
        <w:t xml:space="preserve"> 45% </w:t>
      </w:r>
      <w:r w:rsidR="006403D7" w:rsidRPr="007C266E">
        <w:rPr>
          <w:rFonts w:ascii="Times New Roman" w:hAnsi="Times New Roman" w:cs="Times New Roman"/>
          <w:sz w:val="23"/>
          <w:szCs w:val="23"/>
          <w:lang w:val="ro-RO"/>
        </w:rPr>
        <w:t xml:space="preserve">din </w:t>
      </w:r>
      <w:r w:rsidR="002872A4" w:rsidRPr="007C266E">
        <w:rPr>
          <w:rFonts w:ascii="Times New Roman" w:hAnsi="Times New Roman" w:cs="Times New Roman"/>
          <w:sz w:val="23"/>
          <w:szCs w:val="23"/>
          <w:lang w:val="ro-RO"/>
        </w:rPr>
        <w:t xml:space="preserve">consumul final de </w:t>
      </w:r>
      <w:r w:rsidR="006403D7" w:rsidRPr="007C266E">
        <w:rPr>
          <w:rFonts w:ascii="Times New Roman" w:hAnsi="Times New Roman" w:cs="Times New Roman"/>
          <w:sz w:val="23"/>
          <w:szCs w:val="23"/>
          <w:lang w:val="ro-RO"/>
        </w:rPr>
        <w:t xml:space="preserve">energia electrică </w:t>
      </w:r>
      <w:r w:rsidR="002872A4" w:rsidRPr="007C266E">
        <w:rPr>
          <w:rFonts w:ascii="Times New Roman" w:hAnsi="Times New Roman" w:cs="Times New Roman"/>
          <w:sz w:val="23"/>
          <w:szCs w:val="23"/>
          <w:lang w:val="ro-RO"/>
        </w:rPr>
        <w:t xml:space="preserve">al </w:t>
      </w:r>
      <w:r w:rsidR="006403D7" w:rsidRPr="007C266E">
        <w:rPr>
          <w:rFonts w:ascii="Times New Roman" w:hAnsi="Times New Roman" w:cs="Times New Roman"/>
          <w:sz w:val="23"/>
          <w:szCs w:val="23"/>
          <w:lang w:val="ro-RO"/>
        </w:rPr>
        <w:t>Români</w:t>
      </w:r>
      <w:r w:rsidR="002872A4" w:rsidRPr="007C266E">
        <w:rPr>
          <w:rFonts w:ascii="Times New Roman" w:hAnsi="Times New Roman" w:cs="Times New Roman"/>
          <w:sz w:val="23"/>
          <w:szCs w:val="23"/>
          <w:lang w:val="ro-RO"/>
        </w:rPr>
        <w:t>ei</w:t>
      </w:r>
      <w:r w:rsidRPr="007C266E">
        <w:rPr>
          <w:rFonts w:ascii="Times New Roman" w:hAnsi="Times New Roman" w:cs="Times New Roman"/>
          <w:sz w:val="23"/>
          <w:szCs w:val="23"/>
          <w:lang w:val="ro-RO"/>
        </w:rPr>
        <w:t xml:space="preserve">. Centralele hidroelectrice au un randament ridicat, iar energia stocată în lacuri de acumulare este disponibilă aproape instantaneu, ceea ce le conferă un rol de bază pe piața de echilibrare. Cum o mare parte din centralele hidroelectrice au fost construite în perioada 1960-1990, sunt </w:t>
      </w:r>
      <w:r w:rsidRPr="007C266E">
        <w:rPr>
          <w:rFonts w:ascii="Times New Roman" w:hAnsi="Times New Roman" w:cs="Times New Roman"/>
          <w:sz w:val="23"/>
          <w:szCs w:val="23"/>
          <w:lang w:val="ro-RO"/>
        </w:rPr>
        <w:lastRenderedPageBreak/>
        <w:t xml:space="preserve">necesare investiții în creșterea eficienței. </w:t>
      </w:r>
      <w:r w:rsidR="0034447F" w:rsidRPr="007C266E">
        <w:rPr>
          <w:rFonts w:ascii="Times New Roman" w:hAnsi="Times New Roman" w:cs="Times New Roman"/>
          <w:sz w:val="23"/>
          <w:szCs w:val="23"/>
          <w:lang w:val="ro-RO"/>
        </w:rPr>
        <w:t>Astfel, c</w:t>
      </w:r>
      <w:r w:rsidRPr="007C266E">
        <w:rPr>
          <w:rFonts w:ascii="Times New Roman" w:hAnsi="Times New Roman" w:cs="Times New Roman"/>
          <w:sz w:val="23"/>
          <w:szCs w:val="23"/>
          <w:lang w:val="ro-RO"/>
        </w:rPr>
        <w:t>ompania Hidroelectrica are în curs de realizare, până în 20</w:t>
      </w:r>
      <w:r w:rsidR="004D0D81" w:rsidRPr="007C266E">
        <w:rPr>
          <w:rFonts w:ascii="Times New Roman" w:hAnsi="Times New Roman" w:cs="Times New Roman"/>
          <w:sz w:val="23"/>
          <w:szCs w:val="23"/>
          <w:lang w:val="ro-RO"/>
        </w:rPr>
        <w:t>3</w:t>
      </w:r>
      <w:r w:rsidRPr="007C266E">
        <w:rPr>
          <w:rFonts w:ascii="Times New Roman" w:hAnsi="Times New Roman" w:cs="Times New Roman"/>
          <w:sz w:val="23"/>
          <w:szCs w:val="23"/>
          <w:lang w:val="ro-RO"/>
        </w:rPr>
        <w:t>0, inv</w:t>
      </w:r>
      <w:r w:rsidR="00081F04" w:rsidRPr="007C266E">
        <w:rPr>
          <w:rFonts w:ascii="Times New Roman" w:hAnsi="Times New Roman" w:cs="Times New Roman"/>
          <w:sz w:val="23"/>
          <w:szCs w:val="23"/>
          <w:lang w:val="ro-RO"/>
        </w:rPr>
        <w:t>estiții totale de peste 800 mil.</w:t>
      </w:r>
      <w:r w:rsidRPr="007C266E">
        <w:rPr>
          <w:rFonts w:ascii="Times New Roman" w:hAnsi="Times New Roman" w:cs="Times New Roman"/>
          <w:sz w:val="23"/>
          <w:szCs w:val="23"/>
          <w:lang w:val="ro-RO"/>
        </w:rPr>
        <w:t>€, care includ</w:t>
      </w:r>
      <w:r w:rsidR="00081F04"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finalizarea a circa 200 MW capacități</w:t>
      </w:r>
      <w:r w:rsidRPr="00E47896">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noi</w:t>
      </w:r>
      <w:r w:rsidR="0034447F" w:rsidRPr="007C266E">
        <w:rPr>
          <w:rFonts w:ascii="Times New Roman" w:hAnsi="Times New Roman" w:cs="Times New Roman"/>
          <w:sz w:val="23"/>
          <w:szCs w:val="23"/>
          <w:lang w:val="ro-RO"/>
        </w:rPr>
        <w:t xml:space="preserve">, </w:t>
      </w:r>
      <w:r w:rsidR="009E4301" w:rsidRPr="007C266E">
        <w:rPr>
          <w:rFonts w:ascii="Times New Roman" w:eastAsia="+mn-ea" w:hAnsi="Times New Roman" w:cs="Times New Roman"/>
          <w:kern w:val="24"/>
          <w:sz w:val="23"/>
          <w:szCs w:val="23"/>
          <w:lang w:val="ro-RO"/>
        </w:rPr>
        <w:t>finalizarea unor capacități hiroelectrice începute</w:t>
      </w:r>
      <w:r w:rsidR="009B60E8" w:rsidRPr="007C266E">
        <w:rPr>
          <w:rFonts w:ascii="Times New Roman" w:eastAsia="+mn-ea" w:hAnsi="Times New Roman" w:cs="Times New Roman"/>
          <w:kern w:val="24"/>
          <w:sz w:val="23"/>
          <w:szCs w:val="23"/>
          <w:lang w:val="ro-RO"/>
        </w:rPr>
        <w:t>,</w:t>
      </w:r>
      <w:r w:rsidR="009E4301" w:rsidRPr="007C266E">
        <w:rPr>
          <w:rFonts w:ascii="Times New Roman" w:eastAsia="+mn-ea" w:hAnsi="Times New Roman" w:cs="Times New Roman"/>
          <w:kern w:val="24"/>
          <w:sz w:val="23"/>
          <w:szCs w:val="23"/>
          <w:lang w:val="ro-RO"/>
        </w:rPr>
        <w:t xml:space="preserve"> dar și diversificarea portofoliului de producere prin dezvoltarea de proiecte pe bază de surse regenerabile de energie, în capacități eoliene on-shore si off-shore</w:t>
      </w:r>
      <w:r w:rsidR="0034447F" w:rsidRPr="007C266E">
        <w:rPr>
          <w:rFonts w:ascii="Times New Roman" w:eastAsia="+mn-ea" w:hAnsi="Times New Roman" w:cs="Times New Roman"/>
          <w:kern w:val="24"/>
          <w:sz w:val="23"/>
          <w:szCs w:val="23"/>
          <w:lang w:val="ro-RO"/>
        </w:rPr>
        <w:t>, cu o capacitate estimată de 600MW.</w:t>
      </w:r>
    </w:p>
    <w:p w14:paraId="7DEADA4F"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Puterea instalată în centrale eoliene este de aproximativ 3</w:t>
      </w:r>
      <w:r w:rsidR="00091E72"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000 MW, nivel considerat apropiat de maximum pentru funcționarea în siguranță a SEN, în configurația sa actuală. Volatilitatea producției de energie în centrale eoliene so</w:t>
      </w:r>
      <w:r w:rsidR="004D0D81" w:rsidRPr="007C266E">
        <w:rPr>
          <w:rFonts w:ascii="Times New Roman" w:hAnsi="Times New Roman" w:cs="Times New Roman"/>
          <w:sz w:val="23"/>
          <w:szCs w:val="23"/>
          <w:lang w:val="ro-RO"/>
        </w:rPr>
        <w:t xml:space="preserve">licită întregul SEN, necesitând </w:t>
      </w:r>
      <w:r w:rsidRPr="007C266E">
        <w:rPr>
          <w:rFonts w:ascii="Times New Roman" w:hAnsi="Times New Roman" w:cs="Times New Roman"/>
          <w:sz w:val="23"/>
          <w:szCs w:val="23"/>
          <w:lang w:val="ro-RO"/>
        </w:rPr>
        <w:t xml:space="preserve">reevaluarea necesarului de servicii de sistem și investiții corespunzătoare în centrale de vârf, cu reglaj rapid şi sisteme de stocare. </w:t>
      </w:r>
    </w:p>
    <w:p w14:paraId="35C60F59"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A478C8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Puterea instalată în centrale fotovoltaice este de aproximativ 1</w:t>
      </w:r>
      <w:r w:rsidR="00091E72" w:rsidRPr="007C266E">
        <w:rPr>
          <w:rFonts w:ascii="Times New Roman" w:hAnsi="Times New Roman" w:cs="Times New Roman"/>
          <w:sz w:val="23"/>
          <w:szCs w:val="23"/>
          <w:lang w:val="ro-RO"/>
        </w:rPr>
        <w:t>.</w:t>
      </w:r>
      <w:r w:rsidR="0026448D" w:rsidRPr="007C266E">
        <w:rPr>
          <w:rFonts w:ascii="Times New Roman" w:hAnsi="Times New Roman" w:cs="Times New Roman"/>
          <w:sz w:val="23"/>
          <w:szCs w:val="23"/>
          <w:lang w:val="ro-RO"/>
        </w:rPr>
        <w:t>4</w:t>
      </w:r>
      <w:r w:rsidRPr="007C266E">
        <w:rPr>
          <w:rFonts w:ascii="Times New Roman" w:hAnsi="Times New Roman" w:cs="Times New Roman"/>
          <w:sz w:val="23"/>
          <w:szCs w:val="23"/>
          <w:lang w:val="ro-RO"/>
        </w:rPr>
        <w:t xml:space="preserve">00 MW. Piața de echilibrare este mai puțin solicitată de variaţiile de producţie în  centralele fotovoltaice, care au o funcționare mai predictibilă decât de a celor eoliene. </w:t>
      </w:r>
    </w:p>
    <w:p w14:paraId="75E787B6"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E4E3B71"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Tot în categoria SRE este inclusă și </w:t>
      </w:r>
      <w:r w:rsidR="00980BC0" w:rsidRPr="007C266E">
        <w:rPr>
          <w:rFonts w:ascii="Times New Roman" w:hAnsi="Times New Roman" w:cs="Times New Roman"/>
          <w:sz w:val="23"/>
          <w:szCs w:val="23"/>
          <w:lang w:val="ro-RO"/>
        </w:rPr>
        <w:t>biomas</w:t>
      </w:r>
      <w:r w:rsidR="009B60E8"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 inclusiv biogazul, care nu depinde de variații meteorologice. Dat fiind potențialul lor economic, aceste surse de energie pot câștiga procente în mixul de energie electrică.</w:t>
      </w:r>
    </w:p>
    <w:p w14:paraId="2A4B2E4D" w14:textId="77777777" w:rsidR="00307D34" w:rsidRPr="007C266E" w:rsidRDefault="00307D34" w:rsidP="009E5804">
      <w:pPr>
        <w:spacing w:after="0" w:line="240" w:lineRule="auto"/>
        <w:jc w:val="both"/>
        <w:rPr>
          <w:rFonts w:ascii="Times New Roman" w:hAnsi="Times New Roman" w:cs="Times New Roman"/>
          <w:color w:val="FF0000"/>
          <w:sz w:val="23"/>
          <w:szCs w:val="23"/>
          <w:lang w:val="ro-RO"/>
        </w:rPr>
      </w:pPr>
    </w:p>
    <w:p w14:paraId="213C080E"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Infrastructura și piața de energie electrică</w:t>
      </w:r>
    </w:p>
    <w:p w14:paraId="170DD0E3" w14:textId="77777777" w:rsidR="00005415" w:rsidRPr="007C266E" w:rsidRDefault="00005415" w:rsidP="009E5804">
      <w:pPr>
        <w:spacing w:after="0" w:line="240" w:lineRule="auto"/>
        <w:jc w:val="both"/>
        <w:rPr>
          <w:rFonts w:ascii="Times New Roman" w:hAnsi="Times New Roman" w:cs="Times New Roman"/>
          <w:sz w:val="23"/>
          <w:szCs w:val="23"/>
          <w:lang w:val="ro-RO"/>
        </w:rPr>
      </w:pPr>
    </w:p>
    <w:p w14:paraId="0813591A"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Operatorul de transport și de sistem, Transelectrica SA coordonează fluxurile de putere din SEN prin controlul unităților de producție dispecerizabile. Deși </w:t>
      </w:r>
      <w:r w:rsidR="0026232D" w:rsidRPr="007C266E">
        <w:rPr>
          <w:rFonts w:ascii="Times New Roman" w:hAnsi="Times New Roman" w:cs="Times New Roman"/>
          <w:sz w:val="23"/>
          <w:szCs w:val="23"/>
          <w:lang w:val="ro-RO"/>
        </w:rPr>
        <w:t>dispecerizare</w:t>
      </w:r>
      <w:r w:rsidRPr="007C266E">
        <w:rPr>
          <w:rFonts w:ascii="Times New Roman" w:hAnsi="Times New Roman" w:cs="Times New Roman"/>
          <w:sz w:val="23"/>
          <w:szCs w:val="23"/>
          <w:lang w:val="ro-RO"/>
        </w:rPr>
        <w:t xml:space="preserve"> implică costuri suplimentare pentru producători, ea face posibilă echilibrarea SEN în situații extreme. Din puterea totală brută disponibilă de aproape 20</w:t>
      </w:r>
      <w:r w:rsidR="00091E72" w:rsidRPr="007C266E">
        <w:rPr>
          <w:rFonts w:ascii="Times New Roman" w:hAnsi="Times New Roman" w:cs="Times New Roman"/>
          <w:sz w:val="23"/>
          <w:szCs w:val="23"/>
          <w:lang w:val="ro-RO"/>
        </w:rPr>
        <w:t>.</w:t>
      </w:r>
      <w:r w:rsidR="005814CF" w:rsidRPr="007C266E">
        <w:rPr>
          <w:rFonts w:ascii="Times New Roman" w:hAnsi="Times New Roman" w:cs="Times New Roman"/>
          <w:sz w:val="23"/>
          <w:szCs w:val="23"/>
          <w:lang w:val="ro-RO"/>
        </w:rPr>
        <w:t>000 MW,</w:t>
      </w:r>
      <w:r w:rsidRPr="007C266E">
        <w:rPr>
          <w:rFonts w:ascii="Times New Roman" w:hAnsi="Times New Roman" w:cs="Times New Roman"/>
          <w:sz w:val="23"/>
          <w:szCs w:val="23"/>
          <w:lang w:val="ro-RO"/>
        </w:rPr>
        <w:t xml:space="preserve"> 3</w:t>
      </w:r>
      <w:r w:rsidR="00091E72"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000 MW sunt nedispecerizabili. </w:t>
      </w:r>
    </w:p>
    <w:p w14:paraId="694DFC9B"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6FE0AF0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Planul de dezvoltare al rețelei electrice de transport (RET) (Transelectrica 201</w:t>
      </w:r>
      <w:r w:rsidR="00A059B8" w:rsidRPr="007C266E">
        <w:rPr>
          <w:rFonts w:ascii="Times New Roman" w:hAnsi="Times New Roman" w:cs="Times New Roman"/>
          <w:sz w:val="23"/>
          <w:szCs w:val="23"/>
          <w:lang w:val="ro-RO"/>
        </w:rPr>
        <w:t>9</w:t>
      </w:r>
      <w:r w:rsidRPr="007C266E">
        <w:rPr>
          <w:rFonts w:ascii="Times New Roman" w:hAnsi="Times New Roman" w:cs="Times New Roman"/>
          <w:sz w:val="23"/>
          <w:szCs w:val="23"/>
          <w:lang w:val="ro-RO"/>
        </w:rPr>
        <w:t xml:space="preserve">), în concordanță cu modelul elaborat de ENTSO-E </w:t>
      </w:r>
      <w:r w:rsidRPr="007C266E">
        <w:rPr>
          <w:rFonts w:ascii="Times New Roman" w:hAnsi="Times New Roman" w:cs="Times New Roman"/>
          <w:sz w:val="23"/>
          <w:szCs w:val="23"/>
          <w:lang w:val="ro-RO"/>
        </w:rPr>
        <w:lastRenderedPageBreak/>
        <w:t xml:space="preserve">la nivel european, urmărește evacuarea puterii din zonele de concentrare a SRE către zonele de consum, dezvoltarea regiunilor de pe teritoriul României în care RET este deficitară (de exemplu, regiunea nord-est), precum și creșterea capacității de interconexiune transfrontalieră. </w:t>
      </w:r>
    </w:p>
    <w:p w14:paraId="19A8A9B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Pe fondul creșterii puternice a investițiilor în SRE intermitente din ultimii ani, echilibrarea pieței a devenit esențială, cu atât mai mult cu cât grupurile pe bază de cărbune nu pot răspunde rapid fluctuațiilor vântului și radiației solare decât pe bandă îngustă. Categoriile principale de producători cu răspuns rapid la cerințele de echilibrare sunt centralele hidroelectrice și grupurile pe bază de gaze naturale. Echilibrarea pe o piață regională necesită capacitate </w:t>
      </w:r>
      <w:r w:rsidR="00560D32" w:rsidRPr="007C266E">
        <w:rPr>
          <w:rFonts w:ascii="Times New Roman" w:hAnsi="Times New Roman" w:cs="Times New Roman"/>
          <w:sz w:val="23"/>
          <w:szCs w:val="23"/>
          <w:lang w:val="ro-RO"/>
        </w:rPr>
        <w:t>sporit</w:t>
      </w:r>
      <w:r w:rsidR="00933814"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de interconectare.</w:t>
      </w:r>
    </w:p>
    <w:p w14:paraId="7684A906"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Începând din noiembrie 2014, piața pentru ziua următoare (PZU) din România funcționează în regim cuplat cu piețele din Republica Cehă, Slovacia și Ungaria, pe baza soluției de cuplare prin preț a regiunilor.</w:t>
      </w:r>
    </w:p>
    <w:p w14:paraId="5A554490" w14:textId="77777777" w:rsidR="00C212A2" w:rsidRPr="007C266E" w:rsidRDefault="00C212A2" w:rsidP="009E5804">
      <w:pPr>
        <w:spacing w:after="0" w:line="240" w:lineRule="auto"/>
        <w:jc w:val="both"/>
        <w:rPr>
          <w:rFonts w:ascii="Times New Roman" w:hAnsi="Times New Roman" w:cs="Times New Roman"/>
          <w:sz w:val="23"/>
          <w:szCs w:val="23"/>
          <w:lang w:val="ro-RO"/>
        </w:rPr>
      </w:pPr>
    </w:p>
    <w:p w14:paraId="14342C0C" w14:textId="77777777" w:rsidR="00C212A2" w:rsidRPr="007C266E" w:rsidRDefault="00C212A2"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România participă activ în cadrul proiectelor regionale și europene dedicate creării pieței unic</w:t>
      </w:r>
      <w:r w:rsidR="00307D34" w:rsidRPr="007C266E">
        <w:rPr>
          <w:rFonts w:ascii="Times New Roman" w:hAnsi="Times New Roman" w:cs="Times New Roman"/>
          <w:sz w:val="23"/>
          <w:szCs w:val="23"/>
          <w:lang w:val="ro-RO"/>
        </w:rPr>
        <w:t>e europene de energie electrică.</w:t>
      </w:r>
      <w:r w:rsidRPr="007C266E">
        <w:rPr>
          <w:rFonts w:ascii="Times New Roman" w:hAnsi="Times New Roman" w:cs="Times New Roman"/>
          <w:sz w:val="23"/>
          <w:szCs w:val="23"/>
          <w:lang w:val="ro-RO"/>
        </w:rPr>
        <w:t xml:space="preserve"> </w:t>
      </w:r>
    </w:p>
    <w:p w14:paraId="308A72C5" w14:textId="77777777" w:rsidR="00C65201" w:rsidRPr="007C266E" w:rsidRDefault="00C65201" w:rsidP="009E5804">
      <w:pPr>
        <w:spacing w:after="0" w:line="240" w:lineRule="auto"/>
        <w:jc w:val="both"/>
        <w:rPr>
          <w:rFonts w:ascii="Times New Roman" w:hAnsi="Times New Roman" w:cs="Times New Roman"/>
          <w:sz w:val="23"/>
          <w:szCs w:val="23"/>
          <w:lang w:val="ro-RO"/>
        </w:rPr>
      </w:pPr>
    </w:p>
    <w:p w14:paraId="4A61C210"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I</w:t>
      </w:r>
      <w:r w:rsidR="00235B4F" w:rsidRPr="007C266E">
        <w:rPr>
          <w:rFonts w:ascii="Times New Roman" w:hAnsi="Times New Roman" w:cs="Times New Roman"/>
          <w:i/>
          <w:sz w:val="23"/>
          <w:szCs w:val="23"/>
          <w:lang w:val="ro-RO"/>
        </w:rPr>
        <w:t>mportul și exportul de energie electrică</w:t>
      </w:r>
    </w:p>
    <w:p w14:paraId="235EB921"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3F0EE40" w14:textId="77777777" w:rsidR="00235B4F" w:rsidRPr="007C266E" w:rsidRDefault="00F30C19"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In mod istoric, d</w:t>
      </w:r>
      <w:r w:rsidR="00C43C61" w:rsidRPr="007C266E">
        <w:rPr>
          <w:rFonts w:ascii="Times New Roman" w:hAnsi="Times New Roman" w:cs="Times New Roman"/>
          <w:sz w:val="23"/>
          <w:szCs w:val="23"/>
          <w:lang w:val="ro-RO"/>
        </w:rPr>
        <w:t>in cele 35 de state membre ale ENTSO-E, România</w:t>
      </w:r>
      <w:r w:rsidRPr="007C266E">
        <w:rPr>
          <w:rFonts w:ascii="Times New Roman" w:hAnsi="Times New Roman" w:cs="Times New Roman"/>
          <w:sz w:val="23"/>
          <w:szCs w:val="23"/>
          <w:lang w:val="ro-RO"/>
        </w:rPr>
        <w:t xml:space="preserve"> se află printre statele care </w:t>
      </w:r>
      <w:r w:rsidR="00C43C61" w:rsidRPr="007C266E">
        <w:rPr>
          <w:rFonts w:ascii="Times New Roman" w:hAnsi="Times New Roman" w:cs="Times New Roman"/>
          <w:sz w:val="23"/>
          <w:szCs w:val="23"/>
          <w:lang w:val="ro-RO"/>
        </w:rPr>
        <w:t xml:space="preserve">au export net de energie electrică. </w:t>
      </w:r>
    </w:p>
    <w:p w14:paraId="4CF0B6C3" w14:textId="77777777" w:rsidR="00235B4F" w:rsidRPr="007C266E" w:rsidRDefault="00235B4F" w:rsidP="009E5804">
      <w:pPr>
        <w:spacing w:after="0" w:line="240" w:lineRule="auto"/>
        <w:jc w:val="both"/>
        <w:rPr>
          <w:rFonts w:ascii="Times New Roman" w:hAnsi="Times New Roman" w:cs="Times New Roman"/>
          <w:sz w:val="23"/>
          <w:szCs w:val="23"/>
          <w:lang w:val="ro-RO"/>
        </w:rPr>
      </w:pPr>
    </w:p>
    <w:p w14:paraId="49A02271" w14:textId="77777777" w:rsidR="00C43C61" w:rsidRPr="007C266E" w:rsidRDefault="00C43C61"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România trebuie să-și mențină poziția de producător de energie în regiune și </w:t>
      </w:r>
      <w:r w:rsidR="00007F92" w:rsidRPr="007C266E">
        <w:rPr>
          <w:rFonts w:ascii="Times New Roman" w:hAnsi="Times New Roman" w:cs="Times New Roman"/>
          <w:b/>
          <w:sz w:val="23"/>
          <w:szCs w:val="23"/>
          <w:lang w:val="ro-RO"/>
        </w:rPr>
        <w:t>să-și consolideze rolul de furnizor</w:t>
      </w:r>
      <w:r w:rsidRPr="007C266E">
        <w:rPr>
          <w:rFonts w:ascii="Times New Roman" w:hAnsi="Times New Roman" w:cs="Times New Roman"/>
          <w:b/>
          <w:sz w:val="23"/>
          <w:szCs w:val="23"/>
          <w:lang w:val="ro-RO"/>
        </w:rPr>
        <w:t xml:space="preserve"> de securitate energetică</w:t>
      </w:r>
      <w:r w:rsidR="00007F92" w:rsidRPr="007C266E">
        <w:rPr>
          <w:rFonts w:ascii="Times New Roman" w:hAnsi="Times New Roman" w:cs="Times New Roman"/>
          <w:b/>
          <w:sz w:val="23"/>
          <w:szCs w:val="23"/>
          <w:lang w:val="ro-RO"/>
        </w:rPr>
        <w:t xml:space="preserve"> în gestionarea situațiilor de stres la nivel regional</w:t>
      </w:r>
      <w:r w:rsidRPr="007C266E">
        <w:rPr>
          <w:rFonts w:ascii="Times New Roman" w:hAnsi="Times New Roman" w:cs="Times New Roman"/>
          <w:b/>
          <w:sz w:val="23"/>
          <w:szCs w:val="23"/>
          <w:lang w:val="ro-RO"/>
        </w:rPr>
        <w:t xml:space="preserve">. </w:t>
      </w:r>
    </w:p>
    <w:p w14:paraId="1F562D75"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81AA444"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Întrucât capacitățile de echilibrare și rezervă sunt planificate la nivel național, în multe state membre ale UE va exista un excedent de capacitate, astfel că exportul pe termen lung presupune competitivitate pe piața europeană. De aceea, pentru sectorul energetic românesc, ar trebui ca reglementările să evite impunerea </w:t>
      </w:r>
      <w:r w:rsidRPr="007C266E">
        <w:rPr>
          <w:rFonts w:ascii="Times New Roman" w:hAnsi="Times New Roman" w:cs="Times New Roman"/>
          <w:sz w:val="23"/>
          <w:szCs w:val="23"/>
          <w:lang w:val="ro-RO"/>
        </w:rPr>
        <w:lastRenderedPageBreak/>
        <w:t>unor costuri suplimentare producătorilor față de competitorii externi.</w:t>
      </w:r>
    </w:p>
    <w:p w14:paraId="011236A6" w14:textId="77777777" w:rsidR="00C43C61" w:rsidRPr="007C266E" w:rsidRDefault="00C43C61" w:rsidP="004B4A53">
      <w:pPr>
        <w:pStyle w:val="Heading3"/>
        <w:spacing w:line="240" w:lineRule="auto"/>
        <w:rPr>
          <w:rFonts w:ascii="Times New Roman" w:hAnsi="Times New Roman" w:cs="Times New Roman"/>
          <w:sz w:val="23"/>
          <w:szCs w:val="23"/>
          <w:lang w:val="ro-RO"/>
        </w:rPr>
      </w:pPr>
      <w:bookmarkStart w:id="42" w:name="_Toc44400874"/>
      <w:r w:rsidRPr="007C266E">
        <w:rPr>
          <w:rFonts w:ascii="Times New Roman" w:hAnsi="Times New Roman" w:cs="Times New Roman"/>
          <w:sz w:val="23"/>
          <w:szCs w:val="23"/>
          <w:lang w:val="ro-RO"/>
        </w:rPr>
        <w:t>IV.4.5.</w:t>
      </w:r>
      <w:r w:rsidRPr="007C266E">
        <w:rPr>
          <w:rFonts w:ascii="Times New Roman" w:hAnsi="Times New Roman" w:cs="Times New Roman"/>
          <w:sz w:val="23"/>
          <w:szCs w:val="23"/>
          <w:lang w:val="ro-RO"/>
        </w:rPr>
        <w:tab/>
        <w:t>E</w:t>
      </w:r>
      <w:r w:rsidR="00F711E9" w:rsidRPr="007C266E">
        <w:rPr>
          <w:rFonts w:ascii="Times New Roman" w:hAnsi="Times New Roman" w:cs="Times New Roman"/>
          <w:sz w:val="23"/>
          <w:szCs w:val="23"/>
          <w:lang w:val="ro-RO"/>
        </w:rPr>
        <w:t>ficiență energetică</w:t>
      </w:r>
      <w:bookmarkEnd w:id="42"/>
      <w:r w:rsidR="00F711E9" w:rsidRPr="007C266E">
        <w:rPr>
          <w:rFonts w:ascii="Times New Roman" w:hAnsi="Times New Roman" w:cs="Times New Roman"/>
          <w:sz w:val="23"/>
          <w:szCs w:val="23"/>
          <w:lang w:val="ro-RO"/>
        </w:rPr>
        <w:t xml:space="preserve"> </w:t>
      </w:r>
    </w:p>
    <w:p w14:paraId="32C725DE" w14:textId="77777777" w:rsidR="00C43C61" w:rsidRPr="007C266E" w:rsidRDefault="00C43C61" w:rsidP="006E1D2D">
      <w:pPr>
        <w:spacing w:after="0" w:line="240" w:lineRule="auto"/>
        <w:jc w:val="both"/>
        <w:rPr>
          <w:rFonts w:ascii="Times New Roman" w:hAnsi="Times New Roman" w:cs="Times New Roman"/>
          <w:sz w:val="23"/>
          <w:szCs w:val="23"/>
          <w:lang w:val="ro-RO"/>
        </w:rPr>
      </w:pPr>
    </w:p>
    <w:p w14:paraId="1D048BE5" w14:textId="77777777" w:rsidR="00C43C61" w:rsidRPr="007C266E" w:rsidRDefault="00C43C61" w:rsidP="0038022C">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Eficiență energetică</w:t>
      </w:r>
    </w:p>
    <w:p w14:paraId="527791CA" w14:textId="77777777" w:rsidR="00C43C61" w:rsidRPr="007C266E" w:rsidRDefault="00C43C61"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5020E06A" w14:textId="77777777" w:rsidR="00C43C61" w:rsidRPr="007C266E" w:rsidRDefault="00C43C61"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Eficiența energetică este o cale dintre cele mai puțin costisitoare de reducere a emisiilor de GES, de diminuare a sărăciei energetice și de creștere a securității energetice. Ținta UE de eficiență energetică pentru </w:t>
      </w:r>
      <w:r w:rsidR="00091E72" w:rsidRPr="007C266E">
        <w:rPr>
          <w:rFonts w:ascii="Times New Roman" w:hAnsi="Times New Roman" w:cs="Times New Roman"/>
          <w:sz w:val="23"/>
          <w:szCs w:val="23"/>
          <w:lang w:val="ro-RO"/>
        </w:rPr>
        <w:t xml:space="preserve">anul </w:t>
      </w:r>
      <w:r w:rsidRPr="007C266E">
        <w:rPr>
          <w:rFonts w:ascii="Times New Roman" w:hAnsi="Times New Roman" w:cs="Times New Roman"/>
          <w:sz w:val="23"/>
          <w:szCs w:val="23"/>
          <w:lang w:val="ro-RO"/>
        </w:rPr>
        <w:t xml:space="preserve">2020 este de diminuare a consumului de energie primară cu 20% în raport cu nivelul de referință stabilit în 2007 (MDRAP 2015). Pentru România, ținta este de 19%, corespunzătoare unei cereri de energie primară de 500 TWh în 2020. Pentru 2030, UE își propune o reducere cumulată cu cel puțin </w:t>
      </w:r>
      <w:r w:rsidR="006403D7" w:rsidRPr="007C266E">
        <w:rPr>
          <w:rFonts w:ascii="Times New Roman" w:hAnsi="Times New Roman" w:cs="Times New Roman"/>
          <w:sz w:val="23"/>
          <w:szCs w:val="23"/>
          <w:lang w:val="ro-RO"/>
        </w:rPr>
        <w:t>32.5</w:t>
      </w:r>
      <w:r w:rsidRPr="007C266E">
        <w:rPr>
          <w:rFonts w:ascii="Times New Roman" w:hAnsi="Times New Roman" w:cs="Times New Roman"/>
          <w:sz w:val="23"/>
          <w:szCs w:val="23"/>
          <w:lang w:val="ro-RO"/>
        </w:rPr>
        <w:t xml:space="preserve">% a consumului de energie. </w:t>
      </w:r>
    </w:p>
    <w:p w14:paraId="184E2591" w14:textId="77777777" w:rsidR="00C43C61" w:rsidRPr="007C266E" w:rsidRDefault="00C43C61" w:rsidP="002F5C09">
      <w:pPr>
        <w:spacing w:after="0" w:line="240" w:lineRule="auto"/>
        <w:jc w:val="both"/>
        <w:rPr>
          <w:rFonts w:ascii="Times New Roman" w:hAnsi="Times New Roman" w:cs="Times New Roman"/>
          <w:sz w:val="23"/>
          <w:szCs w:val="23"/>
          <w:lang w:val="ro-RO"/>
        </w:rPr>
      </w:pPr>
    </w:p>
    <w:p w14:paraId="0903E41A" w14:textId="77777777" w:rsidR="0026448D"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Eficiența energetică în România s-a îmbunătățit continuu în ultimii ani. Între 1990 și 2013, România a înregistrat cea mai mare rată medie de descreștere a intensității energetice din UE, de 7,4%, pe fondul restructurării activității industriale </w:t>
      </w:r>
    </w:p>
    <w:p w14:paraId="7552644D" w14:textId="77777777" w:rsidR="002D6B21" w:rsidRPr="007C266E" w:rsidRDefault="002D6B21" w:rsidP="009E5804">
      <w:pPr>
        <w:spacing w:after="0" w:line="240" w:lineRule="auto"/>
        <w:jc w:val="both"/>
        <w:rPr>
          <w:rFonts w:ascii="Times New Roman" w:hAnsi="Times New Roman" w:cs="Times New Roman"/>
          <w:sz w:val="23"/>
          <w:szCs w:val="23"/>
          <w:lang w:val="ro-RO"/>
        </w:rPr>
      </w:pPr>
    </w:p>
    <w:p w14:paraId="74DEDA47" w14:textId="77777777" w:rsidR="0026448D" w:rsidRPr="007C266E" w:rsidRDefault="0026448D"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monitorizarea progreselor făcute de România în atingerea ţintelor stabilite de Directiva 2012/27/UE, consumul de energie primară reprezintă un indicator fundamental.</w:t>
      </w:r>
    </w:p>
    <w:p w14:paraId="2468BCD2" w14:textId="77777777" w:rsidR="002D6B21" w:rsidRPr="007C266E" w:rsidRDefault="002D6B21" w:rsidP="009E5804">
      <w:pPr>
        <w:spacing w:after="0" w:line="240" w:lineRule="auto"/>
        <w:jc w:val="both"/>
        <w:rPr>
          <w:rFonts w:ascii="Times New Roman" w:hAnsi="Times New Roman" w:cs="Times New Roman"/>
          <w:sz w:val="23"/>
          <w:szCs w:val="23"/>
          <w:lang w:val="ro-RO"/>
        </w:rPr>
      </w:pPr>
    </w:p>
    <w:p w14:paraId="612094D6" w14:textId="77777777" w:rsidR="0026448D" w:rsidRPr="007C266E" w:rsidRDefault="0026448D"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perioada 2012-2016, consumul final energetic în România a scăzut cu 449 ktep, de la 22,766 Mtep, la 22,317 Mtep, însemnând 1,97%. În aceeași perioadă, PIB-ul a crescut cu 25,8%. Totuși, din 2014, trendul consumului final energetic este ascendent, înregistrând o viteză medie</w:t>
      </w:r>
    </w:p>
    <w:p w14:paraId="39FAB9B2" w14:textId="77777777" w:rsidR="0026448D" w:rsidRPr="007C266E" w:rsidRDefault="0026448D"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de creștere de 1,34%/an. (ANRE  - Raport naţional - Tendințele eficienței energetice și politici în ROMÂNIA)</w:t>
      </w:r>
    </w:p>
    <w:p w14:paraId="62B2C757"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F96411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Creșterea eficienței energetice prin investiții în tehnologie este esențială pentru întreprinderile cu intensitate energetică ridicată, pentru a putea face față concurenței internaționale. </w:t>
      </w:r>
      <w:r w:rsidR="00514CEB" w:rsidRPr="007C266E">
        <w:rPr>
          <w:rFonts w:ascii="Times New Roman" w:hAnsi="Times New Roman" w:cs="Times New Roman"/>
          <w:sz w:val="23"/>
          <w:szCs w:val="23"/>
          <w:lang w:val="ro-RO"/>
        </w:rPr>
        <w:t>C</w:t>
      </w:r>
      <w:r w:rsidRPr="007C266E">
        <w:rPr>
          <w:rFonts w:ascii="Times New Roman" w:hAnsi="Times New Roman" w:cs="Times New Roman"/>
          <w:sz w:val="23"/>
          <w:szCs w:val="23"/>
          <w:lang w:val="ro-RO"/>
        </w:rPr>
        <w:t xml:space="preserve">reșterea rapidă în continuare a eficienței energetice în industrie este mai dificilă, </w:t>
      </w:r>
      <w:r w:rsidRPr="007C266E">
        <w:rPr>
          <w:rFonts w:ascii="Times New Roman" w:hAnsi="Times New Roman" w:cs="Times New Roman"/>
          <w:sz w:val="23"/>
          <w:szCs w:val="23"/>
          <w:lang w:val="ro-RO"/>
        </w:rPr>
        <w:lastRenderedPageBreak/>
        <w:t>potențial ridicat regăsindu-se în prezent în special în creșterea eficienței energetice a clădirilor (rezidențiale, birouri și spații comerciale).</w:t>
      </w:r>
    </w:p>
    <w:p w14:paraId="424C5CE2" w14:textId="77777777" w:rsidR="00AB4086" w:rsidRPr="007C266E" w:rsidRDefault="00AB4086" w:rsidP="009E5804">
      <w:pPr>
        <w:spacing w:after="0" w:line="240" w:lineRule="auto"/>
        <w:jc w:val="both"/>
        <w:rPr>
          <w:rFonts w:ascii="Times New Roman" w:hAnsi="Times New Roman" w:cs="Times New Roman"/>
          <w:sz w:val="23"/>
          <w:szCs w:val="23"/>
          <w:lang w:val="ro-RO"/>
        </w:rPr>
      </w:pPr>
    </w:p>
    <w:p w14:paraId="06942D3C" w14:textId="77777777" w:rsidR="00AB4086" w:rsidRPr="007C266E" w:rsidRDefault="00AB4086"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Creșterea eficienței energetice în clădiri</w:t>
      </w:r>
    </w:p>
    <w:p w14:paraId="7D98162F" w14:textId="77777777" w:rsidR="00081F04" w:rsidRPr="007C266E" w:rsidRDefault="00081F04" w:rsidP="009E5804">
      <w:pPr>
        <w:spacing w:after="0" w:line="240" w:lineRule="auto"/>
        <w:jc w:val="both"/>
        <w:rPr>
          <w:rFonts w:ascii="Times New Roman" w:hAnsi="Times New Roman" w:cs="Times New Roman"/>
          <w:sz w:val="23"/>
          <w:szCs w:val="23"/>
          <w:lang w:val="ro-RO"/>
        </w:rPr>
      </w:pPr>
    </w:p>
    <w:p w14:paraId="4E97FC8A" w14:textId="77777777" w:rsidR="009773BE" w:rsidRPr="007C266E" w:rsidRDefault="006403D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Proiectul Strategiei de Renovare pe Termen Lung (SRTL) propune măsurile de îmbunătățire a eficienței energetice, reducere a emisiilor de gaze cu efect de seră, precum și cele de creștere a ponderii energiei din surse regenerabile în consumul total de energie prin renovarea stocului național de clădiri. Într-un consum final estimat pentru anul 2019 de 22,86 Mtep</w:t>
      </w:r>
      <w:r w:rsidR="009773BE" w:rsidRPr="007C266E">
        <w:rPr>
          <w:rFonts w:ascii="Times New Roman" w:hAnsi="Times New Roman" w:cs="Times New Roman"/>
          <w:sz w:val="23"/>
          <w:szCs w:val="23"/>
          <w:lang w:val="ro-RO"/>
        </w:rPr>
        <w:t>,stocul național de clădiri are o pondere de 41,64%, având un consum estimat de 9,52 Mtep.</w:t>
      </w:r>
    </w:p>
    <w:p w14:paraId="37C01087" w14:textId="77777777" w:rsidR="009A53AA" w:rsidRPr="007C266E" w:rsidRDefault="009A53AA" w:rsidP="009E5804">
      <w:pPr>
        <w:spacing w:after="0" w:line="240" w:lineRule="auto"/>
        <w:jc w:val="both"/>
        <w:rPr>
          <w:rFonts w:ascii="Times New Roman" w:hAnsi="Times New Roman" w:cs="Times New Roman"/>
          <w:sz w:val="23"/>
          <w:szCs w:val="23"/>
          <w:lang w:val="ro-RO"/>
        </w:rPr>
      </w:pPr>
    </w:p>
    <w:p w14:paraId="5E46CF14" w14:textId="77777777" w:rsidR="009773BE" w:rsidRPr="007C266E" w:rsidRDefault="009773B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Strategia conține 3 scenarii cu diferite ipoteze, fiecare confruntându-se cu diverse dificultăți de ordin financiar și social.</w:t>
      </w:r>
    </w:p>
    <w:p w14:paraId="5D830968" w14:textId="77777777" w:rsidR="009A53AA" w:rsidRPr="007C266E" w:rsidRDefault="009A53AA" w:rsidP="009E5804">
      <w:pPr>
        <w:spacing w:after="0" w:line="240" w:lineRule="auto"/>
        <w:jc w:val="both"/>
        <w:rPr>
          <w:rFonts w:ascii="Times New Roman" w:hAnsi="Times New Roman" w:cs="Times New Roman"/>
          <w:sz w:val="23"/>
          <w:szCs w:val="23"/>
          <w:lang w:val="ro-RO"/>
        </w:rPr>
      </w:pPr>
    </w:p>
    <w:p w14:paraId="070CBE24" w14:textId="77777777" w:rsidR="009773BE" w:rsidRPr="007C266E" w:rsidRDefault="009773B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Scenariul recomandat (scenariul 2) duce la o reducere a consumului final în anul 2030 de 0,83 Mtep comparativ cu scenariul de bază. La nivelul anului 2050, toate cele 3 scenarii conduc la un consum final de energie în clădiri de 3,38 Mtep, o reducere de 66% comparativ cu același an în scenariul de bază. De asemenea, Scenariul 2 duce la o reducere a emisiilor de CO2 de 2,34 mil. tone comparativ cu scenariul de bază, emisiile de CO2 generate de stocul de clădiri al României având o valoare estimată de 7,50 mil. tone la nivelul anului 2030.</w:t>
      </w:r>
    </w:p>
    <w:p w14:paraId="0EE71903" w14:textId="77777777" w:rsidR="009A53AA" w:rsidRPr="007C266E" w:rsidRDefault="009A53AA" w:rsidP="009E5804">
      <w:pPr>
        <w:spacing w:after="0" w:line="240" w:lineRule="auto"/>
        <w:jc w:val="both"/>
        <w:rPr>
          <w:rFonts w:ascii="Times New Roman" w:hAnsi="Times New Roman" w:cs="Times New Roman"/>
          <w:sz w:val="23"/>
          <w:szCs w:val="23"/>
          <w:lang w:val="ro-RO"/>
        </w:rPr>
      </w:pPr>
    </w:p>
    <w:p w14:paraId="52B748D4" w14:textId="77777777" w:rsidR="009773BE" w:rsidRPr="007C266E" w:rsidRDefault="009773B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Pentru implementarea scenariului recomandat, SRTL avansează un cuantum al investițiilor necesare de 12,8 mld. euro.  Suplimentar, o sumă estimată la 1 mld. euro ar trebui angajată pentru acoperirea costurilor de asistență tehnică. </w:t>
      </w:r>
      <w:r w:rsidRPr="007C266E" w:rsidDel="00F1724F">
        <w:rPr>
          <w:rFonts w:ascii="Times New Roman" w:hAnsi="Times New Roman" w:cs="Times New Roman"/>
          <w:sz w:val="23"/>
          <w:szCs w:val="23"/>
          <w:lang w:val="ro-RO"/>
        </w:rPr>
        <w:t xml:space="preserve"> </w:t>
      </w:r>
    </w:p>
    <w:p w14:paraId="5C71C475" w14:textId="77777777" w:rsidR="009773BE" w:rsidRPr="007C266E" w:rsidRDefault="009773BE" w:rsidP="009E5804">
      <w:pPr>
        <w:spacing w:after="0" w:line="240" w:lineRule="auto"/>
        <w:jc w:val="both"/>
        <w:rPr>
          <w:rFonts w:ascii="Times New Roman" w:hAnsi="Times New Roman" w:cs="Times New Roman"/>
          <w:sz w:val="23"/>
          <w:szCs w:val="23"/>
          <w:lang w:val="ro-RO"/>
        </w:rPr>
      </w:pPr>
    </w:p>
    <w:p w14:paraId="138A955F"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Încălzirea eficientă a imobilelor</w:t>
      </w:r>
    </w:p>
    <w:p w14:paraId="46912152"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8B82F64"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Segmentul clădirilor și al serviciilor reprezintă 40% din consumul total de energie din UE și respectiv circa 45% în România – în special </w:t>
      </w:r>
      <w:r w:rsidRPr="007C266E">
        <w:rPr>
          <w:rFonts w:ascii="Times New Roman" w:hAnsi="Times New Roman" w:cs="Times New Roman"/>
          <w:sz w:val="23"/>
          <w:szCs w:val="23"/>
          <w:lang w:val="ro-RO"/>
        </w:rPr>
        <w:lastRenderedPageBreak/>
        <w:t xml:space="preserve">încălzire și mult mai puțin răcire. La nivelul UE, încălzirea rezidențială reprezintă 78% din consumul de energie, în vreme ce răcirea reprezintă doar circa 1%. Până în 2050, se estimează că producția de frig în Europa va înregistra o creștere spectaculoasă ca pondere în consumul total pentru încălzire/răcire. </w:t>
      </w:r>
    </w:p>
    <w:p w14:paraId="5CFED8AE"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37CB84BF" w14:textId="77777777" w:rsidR="00C43C61" w:rsidRPr="007C266E" w:rsidRDefault="00514CEB"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w:t>
      </w:r>
      <w:r w:rsidR="00C43C61" w:rsidRPr="007C266E">
        <w:rPr>
          <w:rFonts w:ascii="Times New Roman" w:hAnsi="Times New Roman" w:cs="Times New Roman"/>
          <w:sz w:val="23"/>
          <w:szCs w:val="23"/>
          <w:lang w:val="ro-RO"/>
        </w:rPr>
        <w:t xml:space="preserve">ererea de energie termică este concentrată în sectoarele industrial, rezidențial și al serviciilor. În sectorul rezidențial, principalii factori sunt temperatura atmosferică și nivelul de confort termic al locuințelor – care, la rândul său, depinde de puterea de cumpărare a populației, dar și de factori culturali. Un alt factor este dat de standardele de termoizolare a clădirilor. </w:t>
      </w:r>
    </w:p>
    <w:p w14:paraId="15B05EB1"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A2D74D5"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Ca urmare a restructurării dramatice a industriei românești din perioada 1992 - 2005, cererea de energie termică în industrie s-a redus foarte mult</w:t>
      </w:r>
      <w:r w:rsidR="007D020A"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w:t>
      </w:r>
    </w:p>
    <w:p w14:paraId="2CE7E2A0"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56EDE665"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România are în prezent un total de circa 8,5 mil locuințe, din care sunt locuite aproximativ 7,5 milioane. Dintre acestea, cca. 4,2 milioane sunt locuințe individuale, iar cca. 2,7 milioane de locuințe sunt apartamente amplasate în blocuri de locuit (</w:t>
      </w:r>
      <w:r w:rsidR="0026232D" w:rsidRPr="007C266E">
        <w:rPr>
          <w:rFonts w:ascii="Times New Roman" w:hAnsi="Times New Roman" w:cs="Times New Roman"/>
          <w:sz w:val="23"/>
          <w:szCs w:val="23"/>
          <w:lang w:val="ro-RO"/>
        </w:rPr>
        <w:t>condominiu</w:t>
      </w:r>
      <w:r w:rsidRPr="007C266E">
        <w:rPr>
          <w:rFonts w:ascii="Times New Roman" w:hAnsi="Times New Roman" w:cs="Times New Roman"/>
          <w:sz w:val="23"/>
          <w:szCs w:val="23"/>
          <w:lang w:val="ro-RO"/>
        </w:rPr>
        <w:t>). Doar 5% dintre apartamente sunt modernizate energetic prin izolare termică. Pe măsură ce comercializarea masei lemnoase este mai bine reglementată, iar prețurile energiei termice și combustibililor sunt liberalizate, costurile cu încălzirea vor cunoaște o creștere, încurajând investițiile în măsuri de reabilitare termică a locuințelor.</w:t>
      </w:r>
    </w:p>
    <w:p w14:paraId="7FAC9B76"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BD4F7DA"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Din totalul locuințelor, numai cca. 1,2 milioane sunt racordate la SACET-</w:t>
      </w:r>
      <w:r w:rsidR="00AB40BF" w:rsidRPr="007C266E">
        <w:rPr>
          <w:rFonts w:ascii="Times New Roman" w:hAnsi="Times New Roman" w:cs="Times New Roman"/>
          <w:sz w:val="23"/>
          <w:szCs w:val="23"/>
          <w:lang w:val="ro-RO"/>
        </w:rPr>
        <w:t>u</w:t>
      </w:r>
      <w:r w:rsidR="007D020A" w:rsidRPr="007C266E">
        <w:rPr>
          <w:rFonts w:ascii="Times New Roman" w:hAnsi="Times New Roman" w:cs="Times New Roman"/>
          <w:sz w:val="23"/>
          <w:szCs w:val="23"/>
          <w:lang w:val="ro-RO"/>
        </w:rPr>
        <w:t>ri</w:t>
      </w:r>
      <w:r w:rsidRPr="007C266E">
        <w:rPr>
          <w:rFonts w:ascii="Times New Roman" w:hAnsi="Times New Roman" w:cs="Times New Roman"/>
          <w:sz w:val="23"/>
          <w:szCs w:val="23"/>
          <w:lang w:val="ro-RO"/>
        </w:rPr>
        <w:t xml:space="preserve"> </w:t>
      </w:r>
      <w:r w:rsidR="007D020A"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cca. 600.000 de apartamente doar în București</w:t>
      </w:r>
      <w:r w:rsidR="007D020A"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O treime din locuințele României (aproape 2,5 mil) se încălzesc direct cu gaz natural, folosind centrale de apartament, dar și sobe cu randamente extrem de scăzute (cel puțin 250.000 de locuințe). Aproximativ 3,5 mil. locuințe (marea majoritate în mediul rural) folosesc combustibil solid – majoritatea lemne, dar și cărbune – arse în sobe cu </w:t>
      </w:r>
      <w:r w:rsidRPr="007C266E">
        <w:rPr>
          <w:rFonts w:ascii="Times New Roman" w:hAnsi="Times New Roman" w:cs="Times New Roman"/>
          <w:sz w:val="23"/>
          <w:szCs w:val="23"/>
          <w:lang w:val="ro-RO"/>
        </w:rPr>
        <w:lastRenderedPageBreak/>
        <w:t xml:space="preserve">randament foarte scăzut. Restul locuințelor sunt încălzite cu combustibili lichizi (păcură, motorină sau GPL) sau energie electrică. Peste jumătate dintre locuințele din România sunt încălzite parțial în timpul iernii. </w:t>
      </w:r>
    </w:p>
    <w:p w14:paraId="543534F2"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183CFE16"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Accesarea fonduri</w:t>
      </w:r>
      <w:r w:rsidR="00843B67" w:rsidRPr="007C266E">
        <w:rPr>
          <w:rFonts w:ascii="Times New Roman" w:hAnsi="Times New Roman" w:cs="Times New Roman"/>
          <w:sz w:val="23"/>
          <w:szCs w:val="23"/>
          <w:lang w:val="ro-RO"/>
        </w:rPr>
        <w:t xml:space="preserve">lor europene (Directiva privind eficiența energetică, Directiva privind performanța energetică a clădirilor, Directiva privind SRE) </w:t>
      </w:r>
      <w:r w:rsidRPr="007C266E">
        <w:rPr>
          <w:rFonts w:ascii="Times New Roman" w:hAnsi="Times New Roman" w:cs="Times New Roman"/>
          <w:sz w:val="23"/>
          <w:szCs w:val="23"/>
          <w:lang w:val="ro-RO"/>
        </w:rPr>
        <w:t>trebuie</w:t>
      </w:r>
      <w:r w:rsidR="00843B67" w:rsidRPr="007C266E">
        <w:rPr>
          <w:rFonts w:ascii="Times New Roman" w:hAnsi="Times New Roman" w:cs="Times New Roman"/>
          <w:sz w:val="23"/>
          <w:szCs w:val="23"/>
          <w:lang w:val="ro-RO"/>
        </w:rPr>
        <w:t xml:space="preserve"> intensificată</w:t>
      </w:r>
      <w:r w:rsidRPr="007C266E">
        <w:rPr>
          <w:rFonts w:ascii="Times New Roman" w:hAnsi="Times New Roman" w:cs="Times New Roman"/>
          <w:sz w:val="23"/>
          <w:szCs w:val="23"/>
          <w:lang w:val="ro-RO"/>
        </w:rPr>
        <w:t>. Eliminarea pierderilor de energie termică din clădiri va contribui substanțial la reducerea facturii de încălzire, cu efectul scăderii necesarului de fonduri alocat</w:t>
      </w:r>
      <w:r w:rsidR="00EE4C0C" w:rsidRPr="007C266E">
        <w:rPr>
          <w:rFonts w:ascii="Times New Roman" w:hAnsi="Times New Roman" w:cs="Times New Roman"/>
          <w:sz w:val="23"/>
          <w:szCs w:val="23"/>
          <w:lang w:val="ro-RO"/>
        </w:rPr>
        <w:t>e suplimentelor pentru locuire.</w:t>
      </w:r>
    </w:p>
    <w:p w14:paraId="76EC411E" w14:textId="77777777" w:rsidR="00C43C61" w:rsidRPr="007C266E" w:rsidRDefault="00C43C61" w:rsidP="004B4A53">
      <w:pPr>
        <w:pStyle w:val="Heading3"/>
        <w:spacing w:line="240" w:lineRule="auto"/>
        <w:rPr>
          <w:rFonts w:ascii="Times New Roman" w:hAnsi="Times New Roman" w:cs="Times New Roman"/>
          <w:sz w:val="23"/>
          <w:szCs w:val="23"/>
          <w:lang w:val="ro-RO"/>
        </w:rPr>
      </w:pPr>
      <w:bookmarkStart w:id="43" w:name="_Toc44400875"/>
      <w:r w:rsidRPr="007C266E">
        <w:rPr>
          <w:rFonts w:ascii="Times New Roman" w:hAnsi="Times New Roman" w:cs="Times New Roman"/>
          <w:sz w:val="23"/>
          <w:szCs w:val="23"/>
          <w:lang w:val="ro-RO"/>
        </w:rPr>
        <w:t>IV.4.6.</w:t>
      </w:r>
      <w:r w:rsidRPr="007C266E">
        <w:rPr>
          <w:rFonts w:ascii="Times New Roman" w:hAnsi="Times New Roman" w:cs="Times New Roman"/>
          <w:sz w:val="23"/>
          <w:szCs w:val="23"/>
          <w:lang w:val="ro-RO"/>
        </w:rPr>
        <w:tab/>
        <w:t>E</w:t>
      </w:r>
      <w:r w:rsidR="00F711E9" w:rsidRPr="007C266E">
        <w:rPr>
          <w:rFonts w:ascii="Times New Roman" w:hAnsi="Times New Roman" w:cs="Times New Roman"/>
          <w:sz w:val="23"/>
          <w:szCs w:val="23"/>
          <w:lang w:val="ro-RO"/>
        </w:rPr>
        <w:t>nergie termică și cogenerare</w:t>
      </w:r>
      <w:bookmarkEnd w:id="43"/>
    </w:p>
    <w:p w14:paraId="608B25C4" w14:textId="77777777" w:rsidR="00C43C61" w:rsidRPr="007C266E" w:rsidRDefault="00C43C61" w:rsidP="006E1D2D">
      <w:pPr>
        <w:spacing w:after="0" w:line="240" w:lineRule="auto"/>
        <w:jc w:val="both"/>
        <w:rPr>
          <w:rFonts w:ascii="Times New Roman" w:hAnsi="Times New Roman" w:cs="Times New Roman"/>
          <w:sz w:val="23"/>
          <w:szCs w:val="23"/>
          <w:lang w:val="ro-RO"/>
        </w:rPr>
      </w:pPr>
    </w:p>
    <w:p w14:paraId="5534B26F" w14:textId="77777777" w:rsidR="00C43C61" w:rsidRPr="007C266E" w:rsidRDefault="00C43C61" w:rsidP="0038022C">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Înainte de 1989, soluția de alimentare centralizată cu energie termică (SACET-uri) a localităților urbane a fost </w:t>
      </w:r>
      <w:r w:rsidR="002F0C2E" w:rsidRPr="007C266E">
        <w:rPr>
          <w:rFonts w:ascii="Times New Roman" w:hAnsi="Times New Roman" w:cs="Times New Roman"/>
          <w:sz w:val="23"/>
          <w:szCs w:val="23"/>
          <w:lang w:val="ro-RO"/>
        </w:rPr>
        <w:t xml:space="preserve">o </w:t>
      </w:r>
      <w:r w:rsidRPr="007C266E">
        <w:rPr>
          <w:rFonts w:ascii="Times New Roman" w:hAnsi="Times New Roman" w:cs="Times New Roman"/>
          <w:sz w:val="23"/>
          <w:szCs w:val="23"/>
          <w:lang w:val="ro-RO"/>
        </w:rPr>
        <w:t>practic</w:t>
      </w:r>
      <w:r w:rsidR="002F0C2E"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generalizată în România. Peste 60 de astfel de sisteme au fost realizate în aceea perioadă, în majoritatea acestora fiind instalate și unități de producere a energiei în cogenerare. </w:t>
      </w:r>
    </w:p>
    <w:p w14:paraId="61AE2B2F" w14:textId="77777777" w:rsidR="00B90F2E" w:rsidRPr="007C266E" w:rsidRDefault="00B90F2E" w:rsidP="00A86877">
      <w:pPr>
        <w:spacing w:after="0" w:line="240" w:lineRule="auto"/>
        <w:jc w:val="both"/>
        <w:rPr>
          <w:rFonts w:ascii="Times New Roman" w:hAnsi="Times New Roman" w:cs="Times New Roman"/>
          <w:sz w:val="23"/>
          <w:szCs w:val="23"/>
          <w:lang w:val="ro-RO"/>
        </w:rPr>
      </w:pPr>
    </w:p>
    <w:p w14:paraId="71BB8243" w14:textId="77777777" w:rsidR="00C43C61" w:rsidRPr="007C266E" w:rsidRDefault="00C43C61"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După 1989, </w:t>
      </w:r>
      <w:r w:rsidR="00A3567D" w:rsidRPr="007C266E">
        <w:rPr>
          <w:rFonts w:ascii="Times New Roman" w:hAnsi="Times New Roman" w:cs="Times New Roman"/>
          <w:sz w:val="23"/>
          <w:szCs w:val="23"/>
          <w:lang w:val="ro-RO"/>
        </w:rPr>
        <w:t>odat</w:t>
      </w:r>
      <w:r w:rsidRPr="007C266E">
        <w:rPr>
          <w:rFonts w:ascii="Times New Roman" w:hAnsi="Times New Roman" w:cs="Times New Roman"/>
          <w:sz w:val="23"/>
          <w:szCs w:val="23"/>
          <w:lang w:val="ro-RO"/>
        </w:rPr>
        <w:t xml:space="preserve">ă </w:t>
      </w:r>
      <w:r w:rsidR="002F0C2E" w:rsidRPr="007C266E">
        <w:rPr>
          <w:rFonts w:ascii="Times New Roman" w:hAnsi="Times New Roman" w:cs="Times New Roman"/>
          <w:sz w:val="23"/>
          <w:szCs w:val="23"/>
          <w:lang w:val="ro-RO"/>
        </w:rPr>
        <w:t xml:space="preserve">cu </w:t>
      </w:r>
      <w:r w:rsidRPr="007C266E">
        <w:rPr>
          <w:rFonts w:ascii="Times New Roman" w:hAnsi="Times New Roman" w:cs="Times New Roman"/>
          <w:sz w:val="23"/>
          <w:szCs w:val="23"/>
          <w:lang w:val="ro-RO"/>
        </w:rPr>
        <w:t xml:space="preserve">restructurarea și chiar dispariția industriei românești, cererea de energie termică aferentă acestor SACET-uri a scăzut an de an și ele au devenit din ce în ce mai ineficiente economic. </w:t>
      </w:r>
    </w:p>
    <w:p w14:paraId="41813C86" w14:textId="77777777" w:rsidR="00307D34" w:rsidRPr="007C266E" w:rsidRDefault="00307D34" w:rsidP="00A86877">
      <w:pPr>
        <w:spacing w:after="0" w:line="240" w:lineRule="auto"/>
        <w:jc w:val="both"/>
        <w:rPr>
          <w:rFonts w:ascii="Times New Roman" w:hAnsi="Times New Roman" w:cs="Times New Roman"/>
          <w:sz w:val="23"/>
          <w:szCs w:val="23"/>
          <w:lang w:val="ro-RO"/>
        </w:rPr>
      </w:pPr>
    </w:p>
    <w:p w14:paraId="15FBC802" w14:textId="77777777" w:rsidR="00C43C61" w:rsidRPr="007C266E" w:rsidRDefault="00C43C61"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ultimii ani, o bună parte dintre capacitățile de producere în cogenerare ale SACET-urilor au fost retrase din exploatare și chiar dezafectate din cauza imposibilității financiare de realizare a investițiilor de mediu, dar în unele cazuri și datorită neconcordanței constructive a acestor grupuri (concepute în special pentru cogenerare industrială) cu actualele cerințe ale pieței de energie termică. </w:t>
      </w:r>
    </w:p>
    <w:p w14:paraId="7734BAB5"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3CEBA49F" w14:textId="77777777" w:rsidR="00EC645D"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Din aceste motive, sistemele municipale de încălzire (SACET) s-au confruntat în ultimii 20 de ani cu debranșări masive ale consumatorilor, aceștia alegând soluții individuale de încălzire</w:t>
      </w:r>
      <w:r w:rsidR="00B90F2E"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w:t>
      </w:r>
      <w:r w:rsidR="00B90F2E" w:rsidRPr="007C266E">
        <w:rPr>
          <w:rFonts w:ascii="Times New Roman" w:hAnsi="Times New Roman" w:cs="Times New Roman"/>
          <w:sz w:val="23"/>
          <w:szCs w:val="23"/>
          <w:lang w:val="ro-RO"/>
        </w:rPr>
        <w:cr/>
      </w:r>
    </w:p>
    <w:p w14:paraId="37172CC6" w14:textId="77777777" w:rsidR="00EC645D" w:rsidRPr="007C266E" w:rsidRDefault="00EC645D"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Cu toate acestea, încalzirea centralizată, în special în orașele mari, va continua să fie </w:t>
      </w:r>
      <w:r w:rsidRPr="007C266E">
        <w:rPr>
          <w:rFonts w:ascii="Times New Roman" w:hAnsi="Times New Roman" w:cs="Times New Roman"/>
          <w:sz w:val="23"/>
          <w:szCs w:val="23"/>
          <w:lang w:val="ro-RO"/>
        </w:rPr>
        <w:lastRenderedPageBreak/>
        <w:t xml:space="preserve">necesară </w:t>
      </w:r>
      <w:r w:rsidR="00A3567D" w:rsidRPr="007C266E">
        <w:rPr>
          <w:rFonts w:ascii="Times New Roman" w:hAnsi="Times New Roman" w:cs="Times New Roman"/>
          <w:sz w:val="23"/>
          <w:szCs w:val="23"/>
          <w:lang w:val="ro-RO"/>
        </w:rPr>
        <w:t>și, în paralel cu</w:t>
      </w:r>
      <w:r w:rsidRPr="007C266E">
        <w:rPr>
          <w:rFonts w:ascii="Times New Roman" w:hAnsi="Times New Roman" w:cs="Times New Roman"/>
          <w:sz w:val="23"/>
          <w:szCs w:val="23"/>
          <w:lang w:val="ro-RO"/>
        </w:rPr>
        <w:t xml:space="preserve"> schemele de sprijin disponibile pentru capacitățile de cogenerare</w:t>
      </w:r>
      <w:r w:rsidR="00A3567D"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este necesară reanalizarea infrastructurii aferente care a devenit nesustenabil</w:t>
      </w:r>
      <w:r w:rsidR="00A3567D"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a mecanismelor de sprijin care au avut</w:t>
      </w:r>
      <w:r w:rsidR="00A3567D"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w:t>
      </w:r>
      <w:r w:rsidR="00A3567D" w:rsidRPr="007C266E">
        <w:rPr>
          <w:rFonts w:ascii="Times New Roman" w:hAnsi="Times New Roman" w:cs="Times New Roman"/>
          <w:sz w:val="23"/>
          <w:szCs w:val="23"/>
          <w:lang w:val="ro-RO"/>
        </w:rPr>
        <w:t>î</w:t>
      </w:r>
      <w:r w:rsidRPr="007C266E">
        <w:rPr>
          <w:rFonts w:ascii="Times New Roman" w:hAnsi="Times New Roman" w:cs="Times New Roman"/>
          <w:sz w:val="23"/>
          <w:szCs w:val="23"/>
          <w:lang w:val="ro-RO"/>
        </w:rPr>
        <w:t>n principal</w:t>
      </w:r>
      <w:r w:rsidR="00A3567D"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un obiectiv opera</w:t>
      </w:r>
      <w:r w:rsidR="00A3567D"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 xml:space="preserve">ional </w:t>
      </w:r>
      <w:r w:rsidR="00A3567D"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i nu unul investi</w:t>
      </w:r>
      <w:r w:rsidR="00A3567D"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ional ori bazat pe eficien</w:t>
      </w:r>
      <w:r w:rsidR="00A3567D"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a utilizarii resurselor, c</w:t>
      </w:r>
      <w:r w:rsidR="00A3567D" w:rsidRPr="007C266E">
        <w:rPr>
          <w:rFonts w:ascii="Times New Roman" w:hAnsi="Times New Roman" w:cs="Times New Roman"/>
          <w:sz w:val="23"/>
          <w:szCs w:val="23"/>
          <w:lang w:val="ro-RO"/>
        </w:rPr>
        <w:t>â</w:t>
      </w:r>
      <w:r w:rsidRPr="007C266E">
        <w:rPr>
          <w:rFonts w:ascii="Times New Roman" w:hAnsi="Times New Roman" w:cs="Times New Roman"/>
          <w:sz w:val="23"/>
          <w:szCs w:val="23"/>
          <w:lang w:val="ro-RO"/>
        </w:rPr>
        <w:t xml:space="preserve">t </w:t>
      </w:r>
      <w:r w:rsidR="00A3567D"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i actualizarea cadrului de reglementare pentru a asigura flexibilitate, coeren</w:t>
      </w:r>
      <w:r w:rsidR="00A3567D" w:rsidRPr="007C266E">
        <w:rPr>
          <w:rFonts w:ascii="Times New Roman" w:hAnsi="Times New Roman" w:cs="Times New Roman"/>
          <w:sz w:val="23"/>
          <w:szCs w:val="23"/>
          <w:lang w:val="ro-RO"/>
        </w:rPr>
        <w:t>ță</w:t>
      </w:r>
      <w:r w:rsidRPr="007C266E">
        <w:rPr>
          <w:rFonts w:ascii="Times New Roman" w:hAnsi="Times New Roman" w:cs="Times New Roman"/>
          <w:sz w:val="23"/>
          <w:szCs w:val="23"/>
          <w:lang w:val="ro-RO"/>
        </w:rPr>
        <w:t xml:space="preserve">, predictibilitate </w:t>
      </w:r>
      <w:r w:rsidR="00A3567D"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 xml:space="preserve">i bancabilitate. </w:t>
      </w:r>
    </w:p>
    <w:p w14:paraId="0F1D6693" w14:textId="77777777" w:rsidR="00EC645D" w:rsidRPr="007C266E" w:rsidRDefault="00EC645D" w:rsidP="009E5804">
      <w:pPr>
        <w:spacing w:after="0" w:line="240" w:lineRule="auto"/>
        <w:jc w:val="both"/>
        <w:rPr>
          <w:rFonts w:ascii="Times New Roman" w:hAnsi="Times New Roman" w:cs="Times New Roman"/>
          <w:sz w:val="23"/>
          <w:szCs w:val="23"/>
          <w:lang w:val="ro-RO"/>
        </w:rPr>
      </w:pPr>
    </w:p>
    <w:p w14:paraId="75F4C32E" w14:textId="77777777" w:rsidR="00C43C61" w:rsidRPr="007C266E" w:rsidRDefault="00EC645D"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M</w:t>
      </w:r>
      <w:r w:rsidR="00A3567D"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surile vor viza actualizarea legislatiei privind </w:t>
      </w:r>
      <w:r w:rsidR="00A3567D" w:rsidRPr="007C266E">
        <w:rPr>
          <w:rFonts w:ascii="Times New Roman" w:hAnsi="Times New Roman" w:cs="Times New Roman"/>
          <w:sz w:val="23"/>
          <w:szCs w:val="23"/>
          <w:lang w:val="ro-RO"/>
        </w:rPr>
        <w:t>î</w:t>
      </w:r>
      <w:r w:rsidRPr="007C266E">
        <w:rPr>
          <w:rFonts w:ascii="Times New Roman" w:hAnsi="Times New Roman" w:cs="Times New Roman"/>
          <w:sz w:val="23"/>
          <w:szCs w:val="23"/>
          <w:lang w:val="ro-RO"/>
        </w:rPr>
        <w:t>nc</w:t>
      </w:r>
      <w:r w:rsidR="00A3567D"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lzirea centralizat</w:t>
      </w:r>
      <w:r w:rsidR="00A3567D"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w:t>
      </w:r>
      <w:r w:rsidR="00A3567D" w:rsidRPr="007C266E">
        <w:rPr>
          <w:rFonts w:ascii="Times New Roman" w:hAnsi="Times New Roman" w:cs="Times New Roman"/>
          <w:sz w:val="23"/>
          <w:szCs w:val="23"/>
          <w:lang w:val="ro-RO"/>
        </w:rPr>
        <w:t>î</w:t>
      </w:r>
      <w:r w:rsidRPr="007C266E">
        <w:rPr>
          <w:rFonts w:ascii="Times New Roman" w:hAnsi="Times New Roman" w:cs="Times New Roman"/>
          <w:sz w:val="23"/>
          <w:szCs w:val="23"/>
          <w:lang w:val="ro-RO"/>
        </w:rPr>
        <w:t>n scopul cre</w:t>
      </w:r>
      <w:r w:rsidR="00A3567D"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rii unei baze legislative transparente, stabile </w:t>
      </w:r>
      <w:r w:rsidR="00A3567D"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 xml:space="preserve">i predictibile cu accent </w:t>
      </w:r>
      <w:r w:rsidR="0022262A" w:rsidRPr="007C266E">
        <w:rPr>
          <w:rFonts w:ascii="Times New Roman" w:hAnsi="Times New Roman" w:cs="Times New Roman"/>
          <w:sz w:val="23"/>
          <w:szCs w:val="23"/>
          <w:lang w:val="ro-RO"/>
        </w:rPr>
        <w:t xml:space="preserve">pe </w:t>
      </w:r>
      <w:r w:rsidR="00A3567D" w:rsidRPr="007C266E">
        <w:rPr>
          <w:rFonts w:ascii="Times New Roman" w:hAnsi="Times New Roman" w:cs="Times New Roman"/>
          <w:sz w:val="23"/>
          <w:szCs w:val="23"/>
          <w:lang w:val="ro-RO"/>
        </w:rPr>
        <w:t xml:space="preserve">creșterea </w:t>
      </w:r>
      <w:r w:rsidRPr="007C266E">
        <w:rPr>
          <w:rFonts w:ascii="Times New Roman" w:hAnsi="Times New Roman" w:cs="Times New Roman"/>
          <w:sz w:val="23"/>
          <w:szCs w:val="23"/>
          <w:lang w:val="ro-RO"/>
        </w:rPr>
        <w:t>eficien</w:t>
      </w:r>
      <w:r w:rsidR="00A3567D" w:rsidRPr="007C266E">
        <w:rPr>
          <w:rFonts w:ascii="Times New Roman" w:hAnsi="Times New Roman" w:cs="Times New Roman"/>
          <w:sz w:val="23"/>
          <w:szCs w:val="23"/>
          <w:lang w:val="ro-RO"/>
        </w:rPr>
        <w:t>ței</w:t>
      </w:r>
      <w:r w:rsidRPr="007C266E">
        <w:rPr>
          <w:rFonts w:ascii="Times New Roman" w:hAnsi="Times New Roman" w:cs="Times New Roman"/>
          <w:sz w:val="23"/>
          <w:szCs w:val="23"/>
          <w:lang w:val="ro-RO"/>
        </w:rPr>
        <w:t xml:space="preserve"> energetic</w:t>
      </w:r>
      <w:r w:rsidR="00A3567D"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pentru acest sector; sus</w:t>
      </w:r>
      <w:r w:rsidR="00A3567D"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inerea investi</w:t>
      </w:r>
      <w:r w:rsidR="00A3567D"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 xml:space="preserve">iilor </w:t>
      </w:r>
      <w:r w:rsidR="00A3567D" w:rsidRPr="007C266E">
        <w:rPr>
          <w:rFonts w:ascii="Times New Roman" w:hAnsi="Times New Roman" w:cs="Times New Roman"/>
          <w:sz w:val="23"/>
          <w:szCs w:val="23"/>
          <w:lang w:val="ro-RO"/>
        </w:rPr>
        <w:t>î</w:t>
      </w:r>
      <w:r w:rsidRPr="007C266E">
        <w:rPr>
          <w:rFonts w:ascii="Times New Roman" w:hAnsi="Times New Roman" w:cs="Times New Roman"/>
          <w:sz w:val="23"/>
          <w:szCs w:val="23"/>
          <w:lang w:val="ro-RO"/>
        </w:rPr>
        <w:t>n modernizarea infrastructurii cu rolul de a cre</w:t>
      </w:r>
      <w:r w:rsidR="00A3567D"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 xml:space="preserve">te atractivitatea </w:t>
      </w:r>
      <w:r w:rsidR="00A3567D"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 xml:space="preserve">i bancabilitatea acestora cu efect direct asupra reducerii pierderilor </w:t>
      </w:r>
      <w:r w:rsidR="00A3567D"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i cre</w:t>
      </w:r>
      <w:r w:rsidR="00A3567D"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terii performan</w:t>
      </w:r>
      <w:r w:rsidR="00A3567D"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ei serviciului; solu</w:t>
      </w:r>
      <w:r w:rsidR="00A3567D"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ionarea situa</w:t>
      </w:r>
      <w:r w:rsidR="00A3567D"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iilor de insolven</w:t>
      </w:r>
      <w:r w:rsidR="00A3567D" w:rsidRPr="007C266E">
        <w:rPr>
          <w:rFonts w:ascii="Times New Roman" w:hAnsi="Times New Roman" w:cs="Times New Roman"/>
          <w:sz w:val="23"/>
          <w:szCs w:val="23"/>
          <w:lang w:val="ro-RO"/>
        </w:rPr>
        <w:t>ță</w:t>
      </w:r>
      <w:r w:rsidRPr="007C266E">
        <w:rPr>
          <w:rFonts w:ascii="Times New Roman" w:hAnsi="Times New Roman" w:cs="Times New Roman"/>
          <w:sz w:val="23"/>
          <w:szCs w:val="23"/>
          <w:lang w:val="ro-RO"/>
        </w:rPr>
        <w:t xml:space="preserve"> sau dificultate </w:t>
      </w:r>
      <w:r w:rsidR="00A3567D" w:rsidRPr="007C266E">
        <w:rPr>
          <w:rFonts w:ascii="Times New Roman" w:hAnsi="Times New Roman" w:cs="Times New Roman"/>
          <w:sz w:val="23"/>
          <w:szCs w:val="23"/>
          <w:lang w:val="ro-RO"/>
        </w:rPr>
        <w:t>î</w:t>
      </w:r>
      <w:r w:rsidRPr="007C266E">
        <w:rPr>
          <w:rFonts w:ascii="Times New Roman" w:hAnsi="Times New Roman" w:cs="Times New Roman"/>
          <w:sz w:val="23"/>
          <w:szCs w:val="23"/>
          <w:lang w:val="ro-RO"/>
        </w:rPr>
        <w:t>n care se afl</w:t>
      </w:r>
      <w:r w:rsidR="00A3567D"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unii operatori de a</w:t>
      </w:r>
      <w:r w:rsidR="00A3567D"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a manier</w:t>
      </w:r>
      <w:r w:rsidR="00A3567D"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w:t>
      </w:r>
      <w:r w:rsidR="00A3567D" w:rsidRPr="007C266E">
        <w:rPr>
          <w:rFonts w:ascii="Times New Roman" w:hAnsi="Times New Roman" w:cs="Times New Roman"/>
          <w:sz w:val="23"/>
          <w:szCs w:val="23"/>
          <w:lang w:val="ro-RO"/>
        </w:rPr>
        <w:t>î</w:t>
      </w:r>
      <w:r w:rsidRPr="007C266E">
        <w:rPr>
          <w:rFonts w:ascii="Times New Roman" w:hAnsi="Times New Roman" w:cs="Times New Roman"/>
          <w:sz w:val="23"/>
          <w:szCs w:val="23"/>
          <w:lang w:val="ro-RO"/>
        </w:rPr>
        <w:t>nc</w:t>
      </w:r>
      <w:r w:rsidR="00A3567D" w:rsidRPr="007C266E">
        <w:rPr>
          <w:rFonts w:ascii="Times New Roman" w:hAnsi="Times New Roman" w:cs="Times New Roman"/>
          <w:sz w:val="23"/>
          <w:szCs w:val="23"/>
          <w:lang w:val="ro-RO"/>
        </w:rPr>
        <w:t>â</w:t>
      </w:r>
      <w:r w:rsidRPr="007C266E">
        <w:rPr>
          <w:rFonts w:ascii="Times New Roman" w:hAnsi="Times New Roman" w:cs="Times New Roman"/>
          <w:sz w:val="23"/>
          <w:szCs w:val="23"/>
          <w:lang w:val="ro-RO"/>
        </w:rPr>
        <w:t>t s</w:t>
      </w:r>
      <w:r w:rsidR="00A3567D"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fie asigurat</w:t>
      </w:r>
      <w:r w:rsidR="00A3567D"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protec</w:t>
      </w:r>
      <w:r w:rsidR="00A3567D"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 xml:space="preserve">ia creditorilor </w:t>
      </w:r>
      <w:r w:rsidR="00A3567D" w:rsidRPr="007C266E">
        <w:rPr>
          <w:rFonts w:ascii="Times New Roman" w:hAnsi="Times New Roman" w:cs="Times New Roman"/>
          <w:sz w:val="23"/>
          <w:szCs w:val="23"/>
          <w:lang w:val="ro-RO"/>
        </w:rPr>
        <w:t>ș</w:t>
      </w:r>
      <w:r w:rsidRPr="007C266E">
        <w:rPr>
          <w:rFonts w:ascii="Times New Roman" w:hAnsi="Times New Roman" w:cs="Times New Roman"/>
          <w:sz w:val="23"/>
          <w:szCs w:val="23"/>
          <w:lang w:val="ro-RO"/>
        </w:rPr>
        <w:t>i restabilit</w:t>
      </w:r>
      <w:r w:rsidR="00A3567D"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w:t>
      </w:r>
      <w:r w:rsidR="00A3567D" w:rsidRPr="007C266E">
        <w:rPr>
          <w:rFonts w:ascii="Times New Roman" w:hAnsi="Times New Roman" w:cs="Times New Roman"/>
          <w:sz w:val="23"/>
          <w:szCs w:val="23"/>
          <w:lang w:val="ro-RO"/>
        </w:rPr>
        <w:t>î</w:t>
      </w:r>
      <w:r w:rsidRPr="007C266E">
        <w:rPr>
          <w:rFonts w:ascii="Times New Roman" w:hAnsi="Times New Roman" w:cs="Times New Roman"/>
          <w:sz w:val="23"/>
          <w:szCs w:val="23"/>
          <w:lang w:val="ro-RO"/>
        </w:rPr>
        <w:t>ncrederea pentru atragerea sus</w:t>
      </w:r>
      <w:r w:rsidR="00A3567D"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inerii unor proiecte viitoare.</w:t>
      </w:r>
    </w:p>
    <w:p w14:paraId="49F0BB3D" w14:textId="77777777" w:rsidR="00A3567D" w:rsidRPr="007C266E" w:rsidRDefault="00A3567D" w:rsidP="009E5804">
      <w:pPr>
        <w:spacing w:after="0" w:line="240" w:lineRule="auto"/>
        <w:jc w:val="both"/>
        <w:rPr>
          <w:rFonts w:ascii="Times New Roman" w:hAnsi="Times New Roman" w:cs="Times New Roman"/>
          <w:sz w:val="23"/>
          <w:szCs w:val="23"/>
          <w:lang w:val="ro-RO"/>
        </w:rPr>
      </w:pPr>
    </w:p>
    <w:p w14:paraId="47D4EEE9" w14:textId="566196A0" w:rsidR="00590A73" w:rsidRPr="007C266E" w:rsidRDefault="00590A73" w:rsidP="00590A73">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Strategia UE pentru Încălzire și Răcire (IR) promovează realizarea de unități de cogenerare și trigenerare (energie electrică, încălzire și răcire). La nivelul UE, aproape 50% din cererea finală de energie este utilizată pentru încălzire și răcire, 80% din aceasta fiind utilizată în clădiri. În acest context, Directiva (UE) 2018/844 de modificare a Directivei 2010/31/UE privind performanța energetică a clădirilor și a Directivei 2012/27/UE privind eficiența energetică a clădirilor este mult mai ambițioasă în privința reducerii consumului de energie decât versiunea sa anterioară.</w:t>
      </w:r>
    </w:p>
    <w:p w14:paraId="60B44008" w14:textId="77777777" w:rsidR="00590A73" w:rsidRPr="007C266E" w:rsidRDefault="00590A73" w:rsidP="00590A73">
      <w:pPr>
        <w:spacing w:after="0" w:line="240" w:lineRule="auto"/>
        <w:jc w:val="both"/>
        <w:rPr>
          <w:rFonts w:ascii="Times New Roman" w:hAnsi="Times New Roman" w:cs="Times New Roman"/>
          <w:sz w:val="23"/>
          <w:szCs w:val="23"/>
          <w:lang w:val="ro-RO"/>
        </w:rPr>
      </w:pPr>
    </w:p>
    <w:p w14:paraId="4EDE2C65" w14:textId="05273502" w:rsidR="00590A73" w:rsidRPr="007C266E" w:rsidRDefault="00590A73" w:rsidP="00590A73">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conformitate cu prevederile Directivei 2018/844/UE, fiecare stat membru trebuie să elaboreze o Strategie de Renovare pe Termen Lung (SRTL) pentru a sprijini renovarea parcului național de clădiri rezidențiale și nerezidențiale, publice și private, într-un parc imobiliar cu un nivel ridicat de eficiență energetică şi decarbonat până în 2050, </w:t>
      </w:r>
      <w:r w:rsidRPr="007C266E">
        <w:rPr>
          <w:rFonts w:ascii="Times New Roman" w:hAnsi="Times New Roman" w:cs="Times New Roman"/>
          <w:sz w:val="23"/>
          <w:szCs w:val="23"/>
          <w:lang w:val="ro-RO"/>
        </w:rPr>
        <w:lastRenderedPageBreak/>
        <w:t>facilitând transformarea eficace din punct de vedere al costurilor a clădirilor existente în clădiri al căror consum de energie este aproape egal cu zero. În proiectul SRTL se precizează că, la nivel național, consumul final de energie în sectorul de clădiri reprezintă 42% din totalul consumului final de energie, din care 34% reprezintă clădiri rezidențiale, iar restul (aproximativ 8%) clădiri comerciale și publice. Sectorul rezidențial are cea mai mare pondere a consumului de energie (aproximativ 81%), în timp ce toate celelalte clădiri la un loc (birouri, școli, spitale, spații comerciale și alte clădiri nerezidențiale) reprezintă restul de 19% din consumul total de energie finală.</w:t>
      </w:r>
    </w:p>
    <w:p w14:paraId="78D6E1D0" w14:textId="77777777" w:rsidR="00590A73" w:rsidRPr="007C266E" w:rsidRDefault="00590A73" w:rsidP="00590A73">
      <w:pPr>
        <w:spacing w:after="0" w:line="240" w:lineRule="auto"/>
        <w:jc w:val="both"/>
        <w:rPr>
          <w:rFonts w:ascii="Times New Roman" w:hAnsi="Times New Roman" w:cs="Times New Roman"/>
          <w:sz w:val="23"/>
          <w:szCs w:val="23"/>
          <w:lang w:val="ro-RO"/>
        </w:rPr>
      </w:pPr>
    </w:p>
    <w:p w14:paraId="3C5A1108" w14:textId="77777777" w:rsidR="00590A73" w:rsidRPr="007C266E" w:rsidRDefault="00590A73" w:rsidP="00590A73">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Conform legislației comunitare în domeniul eficienței energetice, se are în vedere la nivelul Uniunii Europene încurajarea cogenerării de înaltă eficiență și a termoficării și răcirii centralizate, întrucât acestea dețin un potențial semnificativ de economisire a energiei primare, potențial care este în general nevalorificat, în limitele în  care producerea distribuită se dovedeşte fezabilă economic.</w:t>
      </w:r>
    </w:p>
    <w:p w14:paraId="03B5E054" w14:textId="1120E8FB" w:rsidR="009773BE" w:rsidRPr="007C266E" w:rsidRDefault="00590A73"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La nivel naţional, în sprijinul producerii energiei în cogenerare de înaltă eficienţă, p</w:t>
      </w:r>
      <w:r w:rsidR="009773BE" w:rsidRPr="007C266E">
        <w:rPr>
          <w:rFonts w:ascii="Times New Roman" w:hAnsi="Times New Roman" w:cs="Times New Roman"/>
          <w:sz w:val="23"/>
          <w:szCs w:val="23"/>
          <w:lang w:val="ro-RO"/>
        </w:rPr>
        <w:t>rin hotărârea Guvernului nr. 1215/2009 privind stabilirea criteriilor şi a condiţiilor necesare implementării schemei de sprijin pentru promovarea cogenerării de înaltă eficienţă pe baza cererii de energie termică utilă s-a implementat schema de sprijin de tip bonus aplicabilă producătorilor cu unităţi de producere a energiei electrice şi termice în centrale de cogenerare de înaltă eficienţă.</w:t>
      </w:r>
    </w:p>
    <w:p w14:paraId="736BB920" w14:textId="77777777" w:rsidR="00EC645D" w:rsidRPr="007C266E" w:rsidRDefault="00EC645D" w:rsidP="009E5804">
      <w:pPr>
        <w:spacing w:after="0" w:line="240" w:lineRule="auto"/>
        <w:jc w:val="both"/>
        <w:rPr>
          <w:rFonts w:ascii="Times New Roman" w:hAnsi="Times New Roman" w:cs="Times New Roman"/>
          <w:sz w:val="23"/>
          <w:szCs w:val="23"/>
          <w:lang w:val="ro-RO"/>
        </w:rPr>
      </w:pPr>
    </w:p>
    <w:p w14:paraId="06A9ECD3" w14:textId="77777777" w:rsidR="009773BE" w:rsidRPr="007C266E" w:rsidRDefault="009773B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Intrarea în aplicare efectivă a schemei de sprijin de tip bonus a avut loc în data de 1 aprilie 2011. Schema prevede acordarea unui sprijin financiar producătorilor de energie electrică şi termică, ce deţin sau exploatează comercial centrale de cogenerare de înaltă eficienţă şi care îndeplinesc criteriile stabilite în Directiva 2004/8/CE. Producătorii de energie electrică şi termică în cogenerare</w:t>
      </w:r>
    </w:p>
    <w:p w14:paraId="3FEF1938" w14:textId="77777777" w:rsidR="009773BE" w:rsidRPr="007C266E" w:rsidRDefault="009773B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pot beneficia de schema de sprijin pe o perioadă de maxim 11 ani consecutivi, fără a depăşi anul 2023.</w:t>
      </w:r>
    </w:p>
    <w:p w14:paraId="52A74685" w14:textId="77777777" w:rsidR="00EC645D" w:rsidRPr="007C266E" w:rsidRDefault="00EC645D" w:rsidP="009E5804">
      <w:pPr>
        <w:spacing w:after="0" w:line="240" w:lineRule="auto"/>
        <w:jc w:val="both"/>
        <w:rPr>
          <w:rFonts w:ascii="Times New Roman" w:hAnsi="Times New Roman" w:cs="Times New Roman"/>
          <w:sz w:val="23"/>
          <w:szCs w:val="23"/>
          <w:lang w:val="ro-RO"/>
        </w:rPr>
      </w:pPr>
    </w:p>
    <w:p w14:paraId="76493999" w14:textId="77777777" w:rsidR="009773BE" w:rsidRPr="007C266E" w:rsidRDefault="009773B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Schema de sprijin pentru promovarea cogenerării de înaltă eficienţă instituie un mecanism transparent prin care se urmăreşte acoperirea diferenţei dintre costul producerii energiei în cogenerare de înaltă eficienţă şi preţul de vânzare al acesteia. </w:t>
      </w:r>
    </w:p>
    <w:p w14:paraId="7233A840" w14:textId="77777777" w:rsidR="00EC645D" w:rsidRPr="007C266E" w:rsidRDefault="00EC645D" w:rsidP="009E5804">
      <w:pPr>
        <w:spacing w:after="0" w:line="240" w:lineRule="auto"/>
        <w:jc w:val="both"/>
        <w:rPr>
          <w:rFonts w:ascii="Times New Roman" w:hAnsi="Times New Roman" w:cs="Times New Roman"/>
          <w:sz w:val="23"/>
          <w:szCs w:val="23"/>
          <w:lang w:val="ro-RO"/>
        </w:rPr>
      </w:pPr>
    </w:p>
    <w:p w14:paraId="42CAA140" w14:textId="77777777" w:rsidR="009773BE" w:rsidRPr="007C266E" w:rsidRDefault="009773B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baza schemei de ajutor propuse, producătorii de energie electrică şi termică în cogenerare primesc lunar, pentru fiecare unitate de energie electrică, exprimată în MWh, produsă în cogenerare de înaltă eficienţă, livrată în reţelele electrice ale Sistemului Electroenergetic Naţional şi vândută pe piaţa concurenţială de energie electrică şi/sau prin contracte reglementate, o sumă de bani denumită “bonus”. </w:t>
      </w:r>
    </w:p>
    <w:p w14:paraId="7298F3C8" w14:textId="77777777" w:rsidR="00EC645D" w:rsidRPr="007C266E" w:rsidRDefault="00EC645D" w:rsidP="009E5804">
      <w:pPr>
        <w:spacing w:after="0" w:line="240" w:lineRule="auto"/>
        <w:jc w:val="both"/>
        <w:rPr>
          <w:rFonts w:ascii="Times New Roman" w:hAnsi="Times New Roman" w:cs="Times New Roman"/>
          <w:sz w:val="23"/>
          <w:szCs w:val="23"/>
          <w:lang w:val="ro-RO"/>
        </w:rPr>
      </w:pPr>
    </w:p>
    <w:p w14:paraId="70CD3032" w14:textId="77777777" w:rsidR="009773BE" w:rsidRPr="007C266E" w:rsidRDefault="009773B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Valoarea bonusului este stabilită de Autoritatea Naţională de Reglementare în Domeniul Energiei, denumită în continuare ANRE, pe perioada de acordare a schemei, pe baza Metodologiei de stabilire şi ajustare a preţurilor pentru energia electrică şi termică produsă şi livrată din centrale de cogenerare ce beneficiază de schema de sprijin, respectiv a bonusului pentru cogenerare de înaltă eficienţă.</w:t>
      </w:r>
    </w:p>
    <w:p w14:paraId="0ABEE7C7" w14:textId="77777777" w:rsidR="009773BE" w:rsidRPr="007C266E" w:rsidRDefault="009773BE" w:rsidP="009E5804">
      <w:pPr>
        <w:spacing w:after="0" w:line="240" w:lineRule="auto"/>
        <w:jc w:val="both"/>
        <w:rPr>
          <w:rFonts w:ascii="Times New Roman" w:hAnsi="Times New Roman" w:cs="Times New Roman"/>
          <w:sz w:val="23"/>
          <w:szCs w:val="23"/>
          <w:lang w:val="ro-RO"/>
        </w:rPr>
      </w:pPr>
    </w:p>
    <w:p w14:paraId="58CE6946" w14:textId="77777777" w:rsidR="009773BE" w:rsidRPr="007C266E" w:rsidRDefault="009773B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condițiile în care cogenerarea continuă să se afle în atenția autorităților europene ca măsură de îmbunătățire a eficienței energetice, intenția autorităților române a fost de a introduce, începând cu anul 2022, un nou mecanism de sprijin pentru producătorii de energie electrică în cogenerare de înaltă eficiență. Astfel, în urma discuțiilor cu reprezentanți ai Comisiei Europene, s-a decis prelungirea perioadei de valabilitate a schemei de sprijin de tip bonus, prin prelungirea perioadei de aplicabilitate a schemei până în anul 2033 . Acest demers se află în proces de obţinere a aprobării COM prin procedura de prenotificare.</w:t>
      </w:r>
    </w:p>
    <w:p w14:paraId="01A9942D" w14:textId="77777777" w:rsidR="00A60F1E" w:rsidRPr="007C266E" w:rsidRDefault="00A60F1E" w:rsidP="009E5804">
      <w:pPr>
        <w:spacing w:after="0" w:line="240" w:lineRule="auto"/>
        <w:jc w:val="both"/>
        <w:rPr>
          <w:rFonts w:ascii="Times New Roman" w:hAnsi="Times New Roman" w:cs="Times New Roman"/>
          <w:sz w:val="23"/>
          <w:szCs w:val="23"/>
          <w:lang w:val="ro-RO"/>
        </w:rPr>
      </w:pPr>
    </w:p>
    <w:p w14:paraId="61A62B7B" w14:textId="77777777" w:rsidR="00F95B29" w:rsidRPr="007C266E" w:rsidRDefault="00F95B29"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Cu toate aceste măsuri de încurajare a dezvoltăr</w:t>
      </w:r>
      <w:r w:rsidR="00A96EEB" w:rsidRPr="007C266E">
        <w:rPr>
          <w:rFonts w:ascii="Times New Roman" w:hAnsi="Times New Roman" w:cs="Times New Roman"/>
          <w:sz w:val="23"/>
          <w:szCs w:val="23"/>
          <w:lang w:val="ro-RO"/>
        </w:rPr>
        <w:t xml:space="preserve">ii </w:t>
      </w:r>
      <w:r w:rsidRPr="007C266E">
        <w:rPr>
          <w:rFonts w:ascii="Times New Roman" w:hAnsi="Times New Roman" w:cs="Times New Roman"/>
          <w:sz w:val="23"/>
          <w:szCs w:val="23"/>
          <w:lang w:val="ro-RO"/>
        </w:rPr>
        <w:t>cogenerăr</w:t>
      </w:r>
      <w:r w:rsidR="00A96EEB" w:rsidRPr="007C266E">
        <w:rPr>
          <w:rFonts w:ascii="Times New Roman" w:hAnsi="Times New Roman" w:cs="Times New Roman"/>
          <w:sz w:val="23"/>
          <w:szCs w:val="23"/>
          <w:lang w:val="ro-RO"/>
        </w:rPr>
        <w:t xml:space="preserve">ii </w:t>
      </w:r>
      <w:r w:rsidRPr="007C266E">
        <w:rPr>
          <w:rFonts w:ascii="Times New Roman" w:hAnsi="Times New Roman" w:cs="Times New Roman"/>
          <w:sz w:val="23"/>
          <w:szCs w:val="23"/>
          <w:lang w:val="ro-RO"/>
        </w:rPr>
        <w:t xml:space="preserve">de </w:t>
      </w:r>
      <w:r w:rsidR="00A96EEB" w:rsidRPr="007C266E">
        <w:rPr>
          <w:rFonts w:ascii="Times New Roman" w:hAnsi="Times New Roman" w:cs="Times New Roman"/>
          <w:sz w:val="23"/>
          <w:szCs w:val="23"/>
          <w:lang w:val="ro-RO"/>
        </w:rPr>
        <w:t>î</w:t>
      </w:r>
      <w:r w:rsidRPr="007C266E">
        <w:rPr>
          <w:rFonts w:ascii="Times New Roman" w:hAnsi="Times New Roman" w:cs="Times New Roman"/>
          <w:sz w:val="23"/>
          <w:szCs w:val="23"/>
          <w:lang w:val="ro-RO"/>
        </w:rPr>
        <w:t>nalt</w:t>
      </w:r>
      <w:r w:rsidR="00A96EEB"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ef</w:t>
      </w:r>
      <w:r w:rsidR="00A96EEB" w:rsidRPr="007C266E">
        <w:rPr>
          <w:rFonts w:ascii="Times New Roman" w:hAnsi="Times New Roman" w:cs="Times New Roman"/>
          <w:sz w:val="23"/>
          <w:szCs w:val="23"/>
          <w:lang w:val="ro-RO"/>
        </w:rPr>
        <w:t>i</w:t>
      </w:r>
      <w:r w:rsidRPr="007C266E">
        <w:rPr>
          <w:rFonts w:ascii="Times New Roman" w:hAnsi="Times New Roman" w:cs="Times New Roman"/>
          <w:sz w:val="23"/>
          <w:szCs w:val="23"/>
          <w:lang w:val="ro-RO"/>
        </w:rPr>
        <w:t>cienț</w:t>
      </w:r>
      <w:r w:rsidR="00A96EEB" w:rsidRPr="007C266E">
        <w:rPr>
          <w:rFonts w:ascii="Times New Roman" w:hAnsi="Times New Roman" w:cs="Times New Roman"/>
          <w:sz w:val="23"/>
          <w:szCs w:val="23"/>
          <w:lang w:val="ro-RO"/>
        </w:rPr>
        <w:t>ă</w:t>
      </w:r>
      <w:r w:rsidRPr="007C266E">
        <w:rPr>
          <w:rFonts w:ascii="Times New Roman" w:hAnsi="Times New Roman" w:cs="Times New Roman"/>
          <w:sz w:val="23"/>
          <w:szCs w:val="23"/>
          <w:lang w:val="ro-RO"/>
        </w:rPr>
        <w:t xml:space="preserve">, </w:t>
      </w:r>
      <w:r w:rsidR="00A96EEB" w:rsidRPr="007C266E">
        <w:rPr>
          <w:rFonts w:ascii="Times New Roman" w:hAnsi="Times New Roman" w:cs="Times New Roman"/>
          <w:sz w:val="23"/>
          <w:szCs w:val="23"/>
          <w:lang w:val="ro-RO"/>
        </w:rPr>
        <w:t xml:space="preserve">serviciul public de </w:t>
      </w:r>
      <w:r w:rsidR="00A60F1E" w:rsidRPr="007C266E">
        <w:rPr>
          <w:rFonts w:ascii="Times New Roman" w:hAnsi="Times New Roman" w:cs="Times New Roman"/>
          <w:sz w:val="23"/>
          <w:szCs w:val="23"/>
          <w:lang w:val="ro-RO"/>
        </w:rPr>
        <w:t xml:space="preserve">alimentare </w:t>
      </w:r>
      <w:r w:rsidRPr="007C266E">
        <w:rPr>
          <w:rFonts w:ascii="Times New Roman" w:hAnsi="Times New Roman" w:cs="Times New Roman"/>
          <w:sz w:val="23"/>
          <w:szCs w:val="23"/>
          <w:lang w:val="ro-RO"/>
        </w:rPr>
        <w:t xml:space="preserve">a </w:t>
      </w:r>
      <w:r w:rsidR="00A96EEB" w:rsidRPr="007C266E">
        <w:rPr>
          <w:rFonts w:ascii="Times New Roman" w:hAnsi="Times New Roman" w:cs="Times New Roman"/>
          <w:sz w:val="23"/>
          <w:szCs w:val="23"/>
          <w:lang w:val="ro-RO"/>
        </w:rPr>
        <w:t xml:space="preserve">populației </w:t>
      </w:r>
      <w:r w:rsidRPr="007C266E">
        <w:rPr>
          <w:rFonts w:ascii="Times New Roman" w:hAnsi="Times New Roman" w:cs="Times New Roman"/>
          <w:sz w:val="23"/>
          <w:szCs w:val="23"/>
          <w:lang w:val="ro-RO"/>
        </w:rPr>
        <w:t>cu căldură, respectiv răcire</w:t>
      </w:r>
      <w:r w:rsidR="00A96EEB" w:rsidRPr="007C266E">
        <w:rPr>
          <w:rFonts w:ascii="Times New Roman" w:hAnsi="Times New Roman" w:cs="Times New Roman"/>
          <w:sz w:val="23"/>
          <w:szCs w:val="23"/>
          <w:lang w:val="ro-RO"/>
        </w:rPr>
        <w:t>,</w:t>
      </w:r>
      <w:r w:rsidR="00CC7B86" w:rsidRPr="007C266E">
        <w:rPr>
          <w:rFonts w:ascii="Times New Roman" w:hAnsi="Times New Roman" w:cs="Times New Roman"/>
          <w:sz w:val="23"/>
          <w:szCs w:val="23"/>
          <w:lang w:val="ro-RO"/>
        </w:rPr>
        <w:t xml:space="preserve"> în sistem centralizat,</w:t>
      </w:r>
      <w:r w:rsidR="00A96EEB"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este atributul autorităților locale, care vor lua măs</w:t>
      </w:r>
      <w:r w:rsidR="00A96EEB" w:rsidRPr="007C266E">
        <w:rPr>
          <w:rFonts w:ascii="Times New Roman" w:hAnsi="Times New Roman" w:cs="Times New Roman"/>
          <w:sz w:val="23"/>
          <w:szCs w:val="23"/>
          <w:lang w:val="ro-RO"/>
        </w:rPr>
        <w:t>u</w:t>
      </w:r>
      <w:r w:rsidR="00CC7B86" w:rsidRPr="007C266E">
        <w:rPr>
          <w:rFonts w:ascii="Times New Roman" w:hAnsi="Times New Roman" w:cs="Times New Roman"/>
          <w:sz w:val="23"/>
          <w:szCs w:val="23"/>
          <w:lang w:val="ro-RO"/>
        </w:rPr>
        <w:t>rile</w:t>
      </w:r>
      <w:r w:rsidRPr="007C266E">
        <w:rPr>
          <w:rFonts w:ascii="Times New Roman" w:hAnsi="Times New Roman" w:cs="Times New Roman"/>
          <w:sz w:val="23"/>
          <w:szCs w:val="23"/>
          <w:lang w:val="ro-RO"/>
        </w:rPr>
        <w:t xml:space="preserve"> adecvate în vederea </w:t>
      </w:r>
      <w:r w:rsidR="00CC7B86" w:rsidRPr="007C266E">
        <w:rPr>
          <w:rFonts w:ascii="Times New Roman" w:hAnsi="Times New Roman" w:cs="Times New Roman"/>
          <w:sz w:val="23"/>
          <w:szCs w:val="23"/>
          <w:lang w:val="ro-RO"/>
        </w:rPr>
        <w:t xml:space="preserve">eficientizării acestui </w:t>
      </w:r>
      <w:r w:rsidRPr="007C266E">
        <w:rPr>
          <w:rFonts w:ascii="Times New Roman" w:hAnsi="Times New Roman" w:cs="Times New Roman"/>
          <w:sz w:val="23"/>
          <w:szCs w:val="23"/>
          <w:lang w:val="ro-RO"/>
        </w:rPr>
        <w:t>serviciu</w:t>
      </w:r>
      <w:r w:rsidR="00CC7B86"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pe întreg lanțul tehnologic</w:t>
      </w:r>
      <w:r w:rsidR="00CC7B86" w:rsidRPr="007C266E">
        <w:rPr>
          <w:rFonts w:ascii="Times New Roman" w:hAnsi="Times New Roman" w:cs="Times New Roman"/>
          <w:sz w:val="23"/>
          <w:szCs w:val="23"/>
          <w:lang w:val="ro-RO"/>
        </w:rPr>
        <w:t xml:space="preserve"> precum și pentru protecția </w:t>
      </w:r>
      <w:r w:rsidRPr="007C266E">
        <w:rPr>
          <w:rFonts w:ascii="Times New Roman" w:hAnsi="Times New Roman" w:cs="Times New Roman"/>
          <w:sz w:val="23"/>
          <w:szCs w:val="23"/>
          <w:lang w:val="ro-RO"/>
        </w:rPr>
        <w:t xml:space="preserve">populației și </w:t>
      </w:r>
      <w:r w:rsidR="00CC7B86" w:rsidRPr="007C266E">
        <w:rPr>
          <w:rFonts w:ascii="Times New Roman" w:hAnsi="Times New Roman" w:cs="Times New Roman"/>
          <w:sz w:val="23"/>
          <w:szCs w:val="23"/>
          <w:lang w:val="ro-RO"/>
        </w:rPr>
        <w:t xml:space="preserve">menținerea </w:t>
      </w:r>
      <w:r w:rsidRPr="007C266E">
        <w:rPr>
          <w:rFonts w:ascii="Times New Roman" w:hAnsi="Times New Roman" w:cs="Times New Roman"/>
          <w:sz w:val="23"/>
          <w:szCs w:val="23"/>
          <w:lang w:val="ro-RO"/>
        </w:rPr>
        <w:t>calității aerului conform Directivei</w:t>
      </w:r>
      <w:r w:rsidR="00CC7B86" w:rsidRPr="007C266E">
        <w:rPr>
          <w:rFonts w:ascii="Times New Roman" w:hAnsi="Times New Roman" w:cs="Times New Roman"/>
          <w:sz w:val="23"/>
          <w:szCs w:val="23"/>
          <w:lang w:val="ro-RO"/>
        </w:rPr>
        <w:t xml:space="preserve"> privind calitatea aerului.</w:t>
      </w:r>
    </w:p>
    <w:p w14:paraId="3EDF032C" w14:textId="77777777" w:rsidR="00A56A1A" w:rsidRPr="007C266E" w:rsidRDefault="00A56A1A" w:rsidP="009E5804">
      <w:pPr>
        <w:spacing w:after="0" w:line="240" w:lineRule="auto"/>
        <w:jc w:val="both"/>
        <w:rPr>
          <w:rFonts w:ascii="Times New Roman" w:hAnsi="Times New Roman" w:cs="Times New Roman"/>
          <w:sz w:val="23"/>
          <w:szCs w:val="23"/>
          <w:lang w:val="ro-RO"/>
        </w:rPr>
      </w:pPr>
    </w:p>
    <w:p w14:paraId="0C898D19" w14:textId="030B6232" w:rsidR="00AD75D3" w:rsidRPr="007C266E" w:rsidRDefault="00A56A1A" w:rsidP="009E5804">
      <w:pPr>
        <w:pStyle w:val="Heading3"/>
        <w:spacing w:before="0" w:line="240" w:lineRule="auto"/>
        <w:rPr>
          <w:rFonts w:ascii="Times New Roman" w:hAnsi="Times New Roman" w:cs="Times New Roman"/>
          <w:sz w:val="23"/>
          <w:szCs w:val="23"/>
          <w:lang w:val="ro-RO"/>
        </w:rPr>
      </w:pPr>
      <w:bookmarkStart w:id="44" w:name="_Toc44400876"/>
      <w:r w:rsidRPr="007C266E">
        <w:rPr>
          <w:rFonts w:ascii="Times New Roman" w:hAnsi="Times New Roman" w:cs="Times New Roman"/>
          <w:sz w:val="23"/>
          <w:szCs w:val="23"/>
          <w:lang w:val="ro-RO"/>
        </w:rPr>
        <w:t>IV.4.7.</w:t>
      </w:r>
      <w:r w:rsidRPr="007C266E">
        <w:rPr>
          <w:rFonts w:ascii="Times New Roman" w:hAnsi="Times New Roman" w:cs="Times New Roman"/>
          <w:sz w:val="23"/>
          <w:szCs w:val="23"/>
          <w:lang w:val="ro-RO"/>
        </w:rPr>
        <w:tab/>
      </w:r>
      <w:r w:rsidR="005D54D9" w:rsidRPr="007C266E">
        <w:rPr>
          <w:rFonts w:ascii="Times New Roman" w:hAnsi="Times New Roman" w:cs="Times New Roman"/>
          <w:sz w:val="23"/>
          <w:szCs w:val="23"/>
          <w:lang w:val="ro-RO"/>
        </w:rPr>
        <w:t xml:space="preserve">Companii energetice cu </w:t>
      </w:r>
      <w:r w:rsidR="00D66C38" w:rsidRPr="007C266E">
        <w:rPr>
          <w:rFonts w:ascii="Times New Roman" w:hAnsi="Times New Roman" w:cs="Times New Roman"/>
          <w:sz w:val="23"/>
          <w:szCs w:val="23"/>
          <w:lang w:val="ro-RO"/>
        </w:rPr>
        <w:t xml:space="preserve">potențial </w:t>
      </w:r>
      <w:r w:rsidR="005D54D9" w:rsidRPr="007C266E">
        <w:rPr>
          <w:rFonts w:ascii="Times New Roman" w:hAnsi="Times New Roman" w:cs="Times New Roman"/>
          <w:sz w:val="23"/>
          <w:szCs w:val="23"/>
          <w:lang w:val="ro-RO"/>
        </w:rPr>
        <w:t>rol regional</w:t>
      </w:r>
      <w:bookmarkEnd w:id="44"/>
    </w:p>
    <w:p w14:paraId="13F6B0F5" w14:textId="77777777" w:rsidR="00A56A1A" w:rsidRPr="007C266E" w:rsidRDefault="00A56A1A" w:rsidP="009E5804">
      <w:pPr>
        <w:spacing w:after="0" w:line="240" w:lineRule="auto"/>
        <w:rPr>
          <w:rFonts w:ascii="Times New Roman" w:hAnsi="Times New Roman" w:cs="Times New Roman"/>
          <w:sz w:val="23"/>
          <w:szCs w:val="23"/>
          <w:lang w:val="ro-RO"/>
        </w:rPr>
      </w:pPr>
    </w:p>
    <w:p w14:paraId="79EF554E" w14:textId="77777777" w:rsidR="00680524" w:rsidRPr="007C266E" w:rsidRDefault="00A56A1A"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România are un mix energetic echilibrat</w:t>
      </w:r>
      <w:r w:rsidR="009F0F96" w:rsidRPr="007C266E">
        <w:rPr>
          <w:rFonts w:ascii="Times New Roman" w:hAnsi="Times New Roman" w:cs="Times New Roman"/>
          <w:sz w:val="23"/>
          <w:szCs w:val="23"/>
          <w:lang w:val="ro-RO"/>
        </w:rPr>
        <w:t xml:space="preserve"> și diversificat</w:t>
      </w:r>
      <w:r w:rsidRPr="007C266E">
        <w:rPr>
          <w:rFonts w:ascii="Times New Roman" w:hAnsi="Times New Roman" w:cs="Times New Roman"/>
          <w:sz w:val="23"/>
          <w:szCs w:val="23"/>
          <w:lang w:val="ro-RO"/>
        </w:rPr>
        <w:t xml:space="preserve">. </w:t>
      </w:r>
      <w:r w:rsidR="001A0A3E" w:rsidRPr="007C266E">
        <w:rPr>
          <w:rFonts w:ascii="Times New Roman" w:hAnsi="Times New Roman" w:cs="Times New Roman"/>
          <w:sz w:val="23"/>
          <w:szCs w:val="23"/>
          <w:lang w:val="ro-RO"/>
        </w:rPr>
        <w:t xml:space="preserve">Această </w:t>
      </w:r>
      <w:r w:rsidR="00CA3186" w:rsidRPr="007C266E">
        <w:rPr>
          <w:rFonts w:ascii="Times New Roman" w:hAnsi="Times New Roman" w:cs="Times New Roman"/>
          <w:sz w:val="23"/>
          <w:szCs w:val="23"/>
          <w:lang w:val="ro-RO"/>
        </w:rPr>
        <w:t>realitate</w:t>
      </w:r>
      <w:r w:rsidR="001A0A3E" w:rsidRPr="007C266E">
        <w:rPr>
          <w:rFonts w:ascii="Times New Roman" w:hAnsi="Times New Roman" w:cs="Times New Roman"/>
          <w:sz w:val="23"/>
          <w:szCs w:val="23"/>
          <w:lang w:val="ro-RO"/>
        </w:rPr>
        <w:t xml:space="preserve"> este ilustrată inclusiv de p</w:t>
      </w:r>
      <w:r w:rsidR="00357F48" w:rsidRPr="007C266E">
        <w:rPr>
          <w:rFonts w:ascii="Times New Roman" w:hAnsi="Times New Roman" w:cs="Times New Roman"/>
          <w:sz w:val="23"/>
          <w:szCs w:val="23"/>
          <w:lang w:val="ro-RO"/>
        </w:rPr>
        <w:t>erformanțele p</w:t>
      </w:r>
      <w:r w:rsidRPr="007C266E">
        <w:rPr>
          <w:rFonts w:ascii="Times New Roman" w:hAnsi="Times New Roman" w:cs="Times New Roman"/>
          <w:sz w:val="23"/>
          <w:szCs w:val="23"/>
          <w:lang w:val="ro-RO"/>
        </w:rPr>
        <w:t>rincipalel</w:t>
      </w:r>
      <w:r w:rsidR="00357F48" w:rsidRPr="007C266E">
        <w:rPr>
          <w:rFonts w:ascii="Times New Roman" w:hAnsi="Times New Roman" w:cs="Times New Roman"/>
          <w:sz w:val="23"/>
          <w:szCs w:val="23"/>
          <w:lang w:val="ro-RO"/>
        </w:rPr>
        <w:t>or</w:t>
      </w:r>
      <w:r w:rsidRPr="007C266E">
        <w:rPr>
          <w:rFonts w:ascii="Times New Roman" w:hAnsi="Times New Roman" w:cs="Times New Roman"/>
          <w:sz w:val="23"/>
          <w:szCs w:val="23"/>
          <w:lang w:val="ro-RO"/>
        </w:rPr>
        <w:t xml:space="preserve"> companii producătoare de energie</w:t>
      </w:r>
      <w:r w:rsidR="001A0A3E" w:rsidRPr="007C266E">
        <w:rPr>
          <w:rFonts w:ascii="Times New Roman" w:hAnsi="Times New Roman" w:cs="Times New Roman"/>
          <w:sz w:val="23"/>
          <w:szCs w:val="23"/>
          <w:lang w:val="ro-RO"/>
        </w:rPr>
        <w:t>, concentrate,</w:t>
      </w:r>
      <w:r w:rsidR="00CA3186" w:rsidRPr="007C266E">
        <w:rPr>
          <w:rFonts w:ascii="Times New Roman" w:hAnsi="Times New Roman" w:cs="Times New Roman"/>
          <w:sz w:val="23"/>
          <w:szCs w:val="23"/>
          <w:lang w:val="ro-RO"/>
        </w:rPr>
        <w:t xml:space="preserve"> </w:t>
      </w:r>
      <w:r w:rsidR="001A0A3E" w:rsidRPr="007C266E">
        <w:rPr>
          <w:rFonts w:ascii="Times New Roman" w:hAnsi="Times New Roman" w:cs="Times New Roman"/>
          <w:sz w:val="23"/>
          <w:szCs w:val="23"/>
          <w:lang w:val="ro-RO"/>
        </w:rPr>
        <w:t>fiecare, asupra exploatării câte unui ti</w:t>
      </w:r>
      <w:r w:rsidR="00AD75D3" w:rsidRPr="007C266E">
        <w:rPr>
          <w:rFonts w:ascii="Times New Roman" w:hAnsi="Times New Roman" w:cs="Times New Roman"/>
          <w:sz w:val="23"/>
          <w:szCs w:val="23"/>
          <w:lang w:val="ro-RO"/>
        </w:rPr>
        <w:t xml:space="preserve">p de resursă energetică primară, precum și de operatorii de transport de energie  electrică și gaze naturale. </w:t>
      </w:r>
    </w:p>
    <w:p w14:paraId="6DA89B47" w14:textId="77777777" w:rsidR="00680524" w:rsidRPr="007C266E" w:rsidRDefault="00680524" w:rsidP="009E5804">
      <w:pPr>
        <w:spacing w:after="0" w:line="240" w:lineRule="auto"/>
        <w:jc w:val="both"/>
        <w:rPr>
          <w:rFonts w:ascii="Times New Roman" w:hAnsi="Times New Roman" w:cs="Times New Roman"/>
          <w:sz w:val="23"/>
          <w:szCs w:val="23"/>
          <w:lang w:val="ro-RO"/>
        </w:rPr>
      </w:pPr>
    </w:p>
    <w:p w14:paraId="7859DC10" w14:textId="77777777" w:rsidR="00A56A1A" w:rsidRPr="007C266E" w:rsidRDefault="00BB77C7" w:rsidP="009E58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Marile companii în care statul este acționar majoritar </w:t>
      </w:r>
      <w:r w:rsidR="00061416" w:rsidRPr="007C266E">
        <w:rPr>
          <w:rFonts w:ascii="Times New Roman" w:hAnsi="Times New Roman" w:cs="Times New Roman"/>
          <w:b/>
          <w:sz w:val="23"/>
          <w:szCs w:val="23"/>
          <w:lang w:val="ro-RO"/>
        </w:rPr>
        <w:t xml:space="preserve">reprezintă coloana vertebrală </w:t>
      </w:r>
      <w:r w:rsidRPr="007C266E">
        <w:rPr>
          <w:rFonts w:ascii="Times New Roman" w:hAnsi="Times New Roman" w:cs="Times New Roman"/>
          <w:b/>
          <w:sz w:val="23"/>
          <w:szCs w:val="23"/>
          <w:lang w:val="ro-RO"/>
        </w:rPr>
        <w:t xml:space="preserve">a </w:t>
      </w:r>
      <w:r w:rsidR="00AD75D3" w:rsidRPr="007C266E">
        <w:rPr>
          <w:rFonts w:ascii="Times New Roman" w:hAnsi="Times New Roman" w:cs="Times New Roman"/>
          <w:b/>
          <w:sz w:val="23"/>
          <w:szCs w:val="23"/>
          <w:lang w:val="ro-RO"/>
        </w:rPr>
        <w:t>Sistemului Energetic Național</w:t>
      </w:r>
      <w:r w:rsidR="00ED3C01" w:rsidRPr="007C266E">
        <w:rPr>
          <w:rFonts w:ascii="Times New Roman" w:hAnsi="Times New Roman" w:cs="Times New Roman"/>
          <w:b/>
          <w:sz w:val="23"/>
          <w:szCs w:val="23"/>
          <w:lang w:val="ro-RO"/>
        </w:rPr>
        <w:t>.</w:t>
      </w:r>
      <w:r w:rsidR="00007934" w:rsidRPr="007C266E">
        <w:rPr>
          <w:rFonts w:ascii="Times New Roman" w:hAnsi="Times New Roman" w:cs="Times New Roman"/>
          <w:b/>
          <w:sz w:val="23"/>
          <w:szCs w:val="23"/>
          <w:lang w:val="ro-RO"/>
        </w:rPr>
        <w:t xml:space="preserve"> </w:t>
      </w:r>
      <w:r w:rsidR="00ED3C01" w:rsidRPr="007C266E">
        <w:rPr>
          <w:rFonts w:ascii="Times New Roman" w:hAnsi="Times New Roman" w:cs="Times New Roman"/>
          <w:b/>
          <w:sz w:val="23"/>
          <w:szCs w:val="23"/>
          <w:lang w:val="ro-RO"/>
        </w:rPr>
        <w:t>Ț</w:t>
      </w:r>
      <w:r w:rsidR="008F4383" w:rsidRPr="007C266E">
        <w:rPr>
          <w:rFonts w:ascii="Times New Roman" w:hAnsi="Times New Roman" w:cs="Times New Roman"/>
          <w:b/>
          <w:sz w:val="23"/>
          <w:szCs w:val="23"/>
          <w:lang w:val="ro-RO"/>
        </w:rPr>
        <w:t xml:space="preserve">inând cont de poziționarea geografică și strategică a României, precum și de viziunea de dezvoltare a sectorului energetic, </w:t>
      </w:r>
      <w:r w:rsidR="00ED3C01" w:rsidRPr="007C266E">
        <w:rPr>
          <w:rFonts w:ascii="Times New Roman" w:hAnsi="Times New Roman" w:cs="Times New Roman"/>
          <w:b/>
          <w:sz w:val="23"/>
          <w:szCs w:val="23"/>
          <w:lang w:val="ro-RO"/>
        </w:rPr>
        <w:t>aceste</w:t>
      </w:r>
      <w:r w:rsidRPr="007C266E">
        <w:rPr>
          <w:rFonts w:ascii="Times New Roman" w:hAnsi="Times New Roman" w:cs="Times New Roman"/>
          <w:b/>
          <w:sz w:val="23"/>
          <w:szCs w:val="23"/>
          <w:lang w:val="ro-RO"/>
        </w:rPr>
        <w:t xml:space="preserve"> companii</w:t>
      </w:r>
      <w:r w:rsidR="00ED3C01" w:rsidRPr="007C266E">
        <w:rPr>
          <w:rFonts w:ascii="Times New Roman" w:hAnsi="Times New Roman" w:cs="Times New Roman"/>
          <w:b/>
          <w:sz w:val="23"/>
          <w:szCs w:val="23"/>
          <w:lang w:val="ro-RO"/>
        </w:rPr>
        <w:t xml:space="preserve"> </w:t>
      </w:r>
      <w:r w:rsidR="00007934" w:rsidRPr="007C266E">
        <w:rPr>
          <w:rFonts w:ascii="Times New Roman" w:hAnsi="Times New Roman" w:cs="Times New Roman"/>
          <w:b/>
          <w:sz w:val="23"/>
          <w:szCs w:val="23"/>
          <w:lang w:val="ro-RO"/>
        </w:rPr>
        <w:t>au</w:t>
      </w:r>
      <w:r w:rsidR="006D2777" w:rsidRPr="007C266E">
        <w:rPr>
          <w:rFonts w:ascii="Times New Roman" w:hAnsi="Times New Roman" w:cs="Times New Roman"/>
          <w:b/>
          <w:sz w:val="23"/>
          <w:szCs w:val="23"/>
          <w:lang w:val="ro-RO"/>
        </w:rPr>
        <w:t xml:space="preserve"> </w:t>
      </w:r>
      <w:r w:rsidR="00007934" w:rsidRPr="007C266E">
        <w:rPr>
          <w:rFonts w:ascii="Times New Roman" w:hAnsi="Times New Roman" w:cs="Times New Roman"/>
          <w:b/>
          <w:sz w:val="23"/>
          <w:szCs w:val="23"/>
          <w:lang w:val="ro-RO"/>
        </w:rPr>
        <w:t xml:space="preserve">potențialul </w:t>
      </w:r>
      <w:r w:rsidR="004C5EDF" w:rsidRPr="007C266E">
        <w:rPr>
          <w:rFonts w:ascii="Times New Roman" w:hAnsi="Times New Roman" w:cs="Times New Roman"/>
          <w:b/>
          <w:sz w:val="23"/>
          <w:szCs w:val="23"/>
          <w:lang w:val="ro-RO"/>
        </w:rPr>
        <w:t xml:space="preserve">și condițiile de a deveni </w:t>
      </w:r>
      <w:r w:rsidR="006D2777" w:rsidRPr="007C266E">
        <w:rPr>
          <w:rFonts w:ascii="Times New Roman" w:hAnsi="Times New Roman" w:cs="Times New Roman"/>
          <w:b/>
          <w:sz w:val="23"/>
          <w:szCs w:val="23"/>
          <w:lang w:val="ro-RO"/>
        </w:rPr>
        <w:t xml:space="preserve"> c</w:t>
      </w:r>
      <w:r w:rsidR="004C5EDF" w:rsidRPr="007C266E">
        <w:rPr>
          <w:rFonts w:ascii="Times New Roman" w:hAnsi="Times New Roman" w:cs="Times New Roman"/>
          <w:b/>
          <w:sz w:val="23"/>
          <w:szCs w:val="23"/>
          <w:lang w:val="ro-RO"/>
        </w:rPr>
        <w:t xml:space="preserve">ompanii cu un rol </w:t>
      </w:r>
      <w:r w:rsidR="004E2EB3" w:rsidRPr="007C266E">
        <w:rPr>
          <w:rFonts w:ascii="Times New Roman" w:hAnsi="Times New Roman" w:cs="Times New Roman"/>
          <w:b/>
          <w:sz w:val="23"/>
          <w:szCs w:val="23"/>
          <w:lang w:val="ro-RO"/>
        </w:rPr>
        <w:t xml:space="preserve">important în asigurarea securității energetice și a serviciilor de sistem, la nivel </w:t>
      </w:r>
      <w:r w:rsidR="006D2777" w:rsidRPr="007C266E">
        <w:rPr>
          <w:rFonts w:ascii="Times New Roman" w:hAnsi="Times New Roman" w:cs="Times New Roman"/>
          <w:b/>
          <w:sz w:val="23"/>
          <w:szCs w:val="23"/>
          <w:lang w:val="ro-RO"/>
        </w:rPr>
        <w:t>regional</w:t>
      </w:r>
      <w:r w:rsidR="004E2EB3" w:rsidRPr="007C266E">
        <w:rPr>
          <w:rFonts w:ascii="Times New Roman" w:hAnsi="Times New Roman" w:cs="Times New Roman"/>
          <w:b/>
          <w:sz w:val="23"/>
          <w:szCs w:val="23"/>
          <w:lang w:val="ro-RO"/>
        </w:rPr>
        <w:t xml:space="preserve">. </w:t>
      </w:r>
    </w:p>
    <w:p w14:paraId="2A5C59F5" w14:textId="77777777" w:rsidR="006D2777" w:rsidRPr="007C266E" w:rsidRDefault="006D2777" w:rsidP="009E5804">
      <w:pPr>
        <w:spacing w:after="0" w:line="240" w:lineRule="auto"/>
        <w:jc w:val="both"/>
        <w:rPr>
          <w:rFonts w:ascii="Times New Roman" w:hAnsi="Times New Roman" w:cs="Times New Roman"/>
          <w:sz w:val="23"/>
          <w:szCs w:val="23"/>
          <w:lang w:val="ro-RO"/>
        </w:rPr>
      </w:pPr>
    </w:p>
    <w:p w14:paraId="33F3E77E" w14:textId="77777777" w:rsidR="00F804DD" w:rsidRPr="007C266E" w:rsidRDefault="00F804DD"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Contribuția acestor </w:t>
      </w:r>
      <w:r w:rsidR="005D54D9" w:rsidRPr="007C266E">
        <w:rPr>
          <w:rFonts w:ascii="Times New Roman" w:hAnsi="Times New Roman" w:cs="Times New Roman"/>
          <w:sz w:val="23"/>
          <w:szCs w:val="23"/>
          <w:lang w:val="ro-RO"/>
        </w:rPr>
        <w:t>companii</w:t>
      </w:r>
      <w:r w:rsidR="008D11F1" w:rsidRPr="007C266E">
        <w:rPr>
          <w:rFonts w:ascii="Times New Roman" w:hAnsi="Times New Roman" w:cs="Times New Roman"/>
          <w:sz w:val="23"/>
          <w:szCs w:val="23"/>
          <w:lang w:val="ro-RO"/>
        </w:rPr>
        <w:t xml:space="preserve"> energetice</w:t>
      </w:r>
      <w:r w:rsidR="005D54D9" w:rsidRPr="007C266E">
        <w:rPr>
          <w:rFonts w:ascii="Times New Roman" w:hAnsi="Times New Roman" w:cs="Times New Roman"/>
          <w:sz w:val="23"/>
          <w:szCs w:val="23"/>
          <w:lang w:val="ro-RO"/>
        </w:rPr>
        <w:t xml:space="preserve"> cu </w:t>
      </w:r>
      <w:r w:rsidR="008D11F1" w:rsidRPr="007C266E">
        <w:rPr>
          <w:rFonts w:ascii="Times New Roman" w:hAnsi="Times New Roman" w:cs="Times New Roman"/>
          <w:sz w:val="23"/>
          <w:szCs w:val="23"/>
          <w:lang w:val="ro-RO"/>
        </w:rPr>
        <w:t xml:space="preserve">rol </w:t>
      </w:r>
      <w:r w:rsidR="005D54D9" w:rsidRPr="007C266E">
        <w:rPr>
          <w:rFonts w:ascii="Times New Roman" w:hAnsi="Times New Roman" w:cs="Times New Roman"/>
          <w:sz w:val="23"/>
          <w:szCs w:val="23"/>
          <w:lang w:val="ro-RO"/>
        </w:rPr>
        <w:t xml:space="preserve">regional </w:t>
      </w:r>
      <w:r w:rsidRPr="007C266E">
        <w:rPr>
          <w:rFonts w:ascii="Times New Roman" w:hAnsi="Times New Roman" w:cs="Times New Roman"/>
          <w:sz w:val="23"/>
          <w:szCs w:val="23"/>
          <w:lang w:val="ro-RO"/>
        </w:rPr>
        <w:t>la securitatea energetică a regiunii s-a văzut limpede în</w:t>
      </w:r>
      <w:r w:rsidR="00520C5C" w:rsidRPr="007C266E">
        <w:rPr>
          <w:rFonts w:ascii="Times New Roman" w:hAnsi="Times New Roman" w:cs="Times New Roman"/>
          <w:sz w:val="23"/>
          <w:szCs w:val="23"/>
          <w:lang w:val="ro-RO"/>
        </w:rPr>
        <w:t xml:space="preserve"> ultimii ani în </w:t>
      </w:r>
      <w:r w:rsidRPr="007C266E">
        <w:rPr>
          <w:rFonts w:ascii="Times New Roman" w:hAnsi="Times New Roman" w:cs="Times New Roman"/>
          <w:sz w:val="23"/>
          <w:szCs w:val="23"/>
          <w:lang w:val="ro-RO"/>
        </w:rPr>
        <w:t xml:space="preserve"> perioadele în care sistemele energetice ale țărilor din această parte a Europei au fost afectate de condiții meteorologice extreme. Dimensiunea acestor companii, energia produsă, livrată și, respectiv, transportată au asigurat buna funcționare a Sistemului Energetic Național, dar și a sistemelor energetice din țările vecine.</w:t>
      </w:r>
      <w:r w:rsidR="00520C5C" w:rsidRPr="007C266E">
        <w:rPr>
          <w:rFonts w:ascii="Times New Roman" w:hAnsi="Times New Roman" w:cs="Times New Roman"/>
          <w:sz w:val="23"/>
          <w:szCs w:val="23"/>
          <w:lang w:val="ro-RO"/>
        </w:rPr>
        <w:t xml:space="preserve"> Statutul României de furnizor de securitate</w:t>
      </w:r>
      <w:r w:rsidR="002D7F9C" w:rsidRPr="007C266E">
        <w:rPr>
          <w:rFonts w:ascii="Times New Roman" w:hAnsi="Times New Roman" w:cs="Times New Roman"/>
          <w:sz w:val="23"/>
          <w:szCs w:val="23"/>
          <w:lang w:val="ro-RO"/>
        </w:rPr>
        <w:t xml:space="preserve"> </w:t>
      </w:r>
      <w:r w:rsidR="00520C5C" w:rsidRPr="007C266E">
        <w:rPr>
          <w:rFonts w:ascii="Times New Roman" w:hAnsi="Times New Roman" w:cs="Times New Roman"/>
          <w:sz w:val="23"/>
          <w:szCs w:val="23"/>
          <w:lang w:val="ro-RO"/>
        </w:rPr>
        <w:t>energetică în regiune se susține în foarte mare măsură prin activitatea acestor societăți.</w:t>
      </w:r>
    </w:p>
    <w:p w14:paraId="2F049E4C" w14:textId="77777777" w:rsidR="00F804DD" w:rsidRPr="007C266E" w:rsidRDefault="00F804DD" w:rsidP="009E5804">
      <w:pPr>
        <w:spacing w:after="0" w:line="240" w:lineRule="auto"/>
        <w:jc w:val="both"/>
        <w:rPr>
          <w:rFonts w:ascii="Times New Roman" w:hAnsi="Times New Roman" w:cs="Times New Roman"/>
          <w:sz w:val="23"/>
          <w:szCs w:val="23"/>
          <w:lang w:val="ro-RO"/>
        </w:rPr>
      </w:pPr>
    </w:p>
    <w:p w14:paraId="5F399510" w14:textId="77777777" w:rsidR="00F804DD" w:rsidRPr="007C266E" w:rsidRDefault="00F804DD"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Toate cele șase companii au planuri ambițioase de dezvoltare – fie că ne referim la noi obiective de investiții, fie că ne referim la retehnologizări și modernizări ale unor obiective aflate în funcțiune.</w:t>
      </w:r>
      <w:r w:rsidR="00F1150D" w:rsidRPr="007C266E">
        <w:rPr>
          <w:rFonts w:ascii="Times New Roman" w:hAnsi="Times New Roman" w:cs="Times New Roman"/>
          <w:sz w:val="23"/>
          <w:szCs w:val="23"/>
          <w:lang w:val="ro-RO"/>
        </w:rPr>
        <w:t xml:space="preserve"> Iar dezvoltarea nu se limitează doar la teritoriul României; la 28 martie 2018, compania EUROTRANSGAZ, înființată și deținută de </w:t>
      </w:r>
      <w:r w:rsidR="002D7F9C" w:rsidRPr="007C266E">
        <w:rPr>
          <w:rFonts w:ascii="Times New Roman" w:hAnsi="Times New Roman" w:cs="Times New Roman"/>
          <w:sz w:val="23"/>
          <w:szCs w:val="23"/>
          <w:lang w:val="ro-RO"/>
        </w:rPr>
        <w:t xml:space="preserve"> </w:t>
      </w:r>
      <w:r w:rsidR="00F1150D" w:rsidRPr="007C266E">
        <w:rPr>
          <w:rFonts w:ascii="Times New Roman" w:hAnsi="Times New Roman" w:cs="Times New Roman"/>
          <w:sz w:val="23"/>
          <w:szCs w:val="23"/>
          <w:lang w:val="ro-RO"/>
        </w:rPr>
        <w:t xml:space="preserve">TRANSGAZ </w:t>
      </w:r>
      <w:r w:rsidR="002D7F9C" w:rsidRPr="007C266E">
        <w:rPr>
          <w:rFonts w:ascii="Times New Roman" w:hAnsi="Times New Roman" w:cs="Times New Roman"/>
          <w:sz w:val="23"/>
          <w:szCs w:val="23"/>
          <w:lang w:val="ro-RO"/>
        </w:rPr>
        <w:t xml:space="preserve">România </w:t>
      </w:r>
      <w:r w:rsidR="00F1150D" w:rsidRPr="007C266E">
        <w:rPr>
          <w:rFonts w:ascii="Times New Roman" w:hAnsi="Times New Roman" w:cs="Times New Roman"/>
          <w:sz w:val="23"/>
          <w:szCs w:val="23"/>
          <w:lang w:val="ro-RO"/>
        </w:rPr>
        <w:t xml:space="preserve">în Republica Moldova, </w:t>
      </w:r>
      <w:r w:rsidR="00520C5C" w:rsidRPr="007C266E">
        <w:rPr>
          <w:rFonts w:ascii="Times New Roman" w:hAnsi="Times New Roman" w:cs="Times New Roman"/>
          <w:sz w:val="23"/>
          <w:szCs w:val="23"/>
          <w:lang w:val="ro-RO"/>
        </w:rPr>
        <w:t xml:space="preserve">a semnat contractul de vînzare-cumpărare a </w:t>
      </w:r>
      <w:r w:rsidR="00520C5C" w:rsidRPr="007C266E">
        <w:rPr>
          <w:rFonts w:ascii="Times New Roman" w:hAnsi="Times New Roman" w:cs="Times New Roman"/>
          <w:color w:val="000000"/>
          <w:sz w:val="23"/>
          <w:szCs w:val="23"/>
          <w:shd w:val="clear" w:color="auto" w:fill="FFFFFF"/>
          <w:lang w:val="ro-RO"/>
        </w:rPr>
        <w:t>Întreprinderii de Stat Vestmoldtransgaz din țara vecină.</w:t>
      </w:r>
    </w:p>
    <w:p w14:paraId="3F185D48" w14:textId="77777777" w:rsidR="00F804DD" w:rsidRPr="007C266E" w:rsidRDefault="00F804DD" w:rsidP="009E5804">
      <w:pPr>
        <w:spacing w:after="0" w:line="240" w:lineRule="auto"/>
        <w:jc w:val="both"/>
        <w:rPr>
          <w:rFonts w:ascii="Times New Roman" w:hAnsi="Times New Roman" w:cs="Times New Roman"/>
          <w:sz w:val="23"/>
          <w:szCs w:val="23"/>
          <w:lang w:val="ro-RO"/>
        </w:rPr>
      </w:pPr>
    </w:p>
    <w:p w14:paraId="24BF5E29" w14:textId="77777777" w:rsidR="006D2777" w:rsidRPr="007C266E" w:rsidRDefault="0072779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Strategia Energetică stabilește liniile directoare ale dezvoltării domeniului energetic; dezvoltarea companiilor este o consecință firească a creșterii domeniului atât din  </w:t>
      </w:r>
      <w:r w:rsidR="00F804DD" w:rsidRPr="007C266E">
        <w:rPr>
          <w:rFonts w:ascii="Times New Roman" w:hAnsi="Times New Roman" w:cs="Times New Roman"/>
          <w:sz w:val="23"/>
          <w:szCs w:val="23"/>
          <w:lang w:val="ro-RO"/>
        </w:rPr>
        <w:t>perspectiva mixului echilibrat de resurs</w:t>
      </w:r>
      <w:r w:rsidRPr="007C266E">
        <w:rPr>
          <w:rFonts w:ascii="Times New Roman" w:hAnsi="Times New Roman" w:cs="Times New Roman"/>
          <w:sz w:val="23"/>
          <w:szCs w:val="23"/>
          <w:lang w:val="ro-RO"/>
        </w:rPr>
        <w:t>e de care beneficiază România, cât și din cel al dimensiunii acestor</w:t>
      </w:r>
      <w:r w:rsidR="00520C5C" w:rsidRPr="007C266E">
        <w:rPr>
          <w:rFonts w:ascii="Times New Roman" w:hAnsi="Times New Roman" w:cs="Times New Roman"/>
          <w:sz w:val="23"/>
          <w:szCs w:val="23"/>
          <w:lang w:val="ro-RO"/>
        </w:rPr>
        <w:t xml:space="preserve"> campioane regionale</w:t>
      </w:r>
      <w:r w:rsidRPr="007C266E">
        <w:rPr>
          <w:rFonts w:ascii="Times New Roman" w:hAnsi="Times New Roman" w:cs="Times New Roman"/>
          <w:sz w:val="23"/>
          <w:szCs w:val="23"/>
          <w:lang w:val="ro-RO"/>
        </w:rPr>
        <w:t xml:space="preserve"> din toate punctele de vedere: </w:t>
      </w:r>
      <w:r w:rsidR="00520C5C" w:rsidRPr="007C266E">
        <w:rPr>
          <w:rFonts w:ascii="Times New Roman" w:hAnsi="Times New Roman" w:cs="Times New Roman"/>
          <w:sz w:val="23"/>
          <w:szCs w:val="23"/>
          <w:lang w:val="ro-RO"/>
        </w:rPr>
        <w:t xml:space="preserve">energetic, economic, financiar </w:t>
      </w:r>
      <w:r w:rsidRPr="007C266E">
        <w:rPr>
          <w:rFonts w:ascii="Times New Roman" w:hAnsi="Times New Roman" w:cs="Times New Roman"/>
          <w:sz w:val="23"/>
          <w:szCs w:val="23"/>
          <w:lang w:val="ro-RO"/>
        </w:rPr>
        <w:t xml:space="preserve">sau social. </w:t>
      </w:r>
    </w:p>
    <w:p w14:paraId="5C8C1DEA" w14:textId="77777777" w:rsidR="00484871" w:rsidRPr="007C266E" w:rsidRDefault="00484871" w:rsidP="009E5804">
      <w:pPr>
        <w:spacing w:after="0" w:line="240" w:lineRule="auto"/>
        <w:jc w:val="both"/>
        <w:rPr>
          <w:rFonts w:ascii="Times New Roman" w:hAnsi="Times New Roman" w:cs="Times New Roman"/>
          <w:sz w:val="23"/>
          <w:szCs w:val="23"/>
          <w:lang w:val="ro-RO"/>
        </w:rPr>
      </w:pPr>
    </w:p>
    <w:p w14:paraId="06647DBE" w14:textId="77777777" w:rsidR="00484871" w:rsidRPr="007C266E" w:rsidRDefault="00C04B59"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SPEEH HIDROELECTRICA SA</w:t>
      </w:r>
    </w:p>
    <w:p w14:paraId="58388C6F" w14:textId="77777777" w:rsidR="00484871" w:rsidRPr="007C266E" w:rsidRDefault="00484871" w:rsidP="009E5804">
      <w:pPr>
        <w:spacing w:after="0" w:line="240" w:lineRule="auto"/>
        <w:jc w:val="both"/>
        <w:rPr>
          <w:rFonts w:ascii="Times New Roman" w:hAnsi="Times New Roman" w:cs="Times New Roman"/>
          <w:b/>
          <w:sz w:val="23"/>
          <w:szCs w:val="23"/>
          <w:lang w:val="ro-RO"/>
        </w:rPr>
      </w:pPr>
    </w:p>
    <w:p w14:paraId="0C7050D3" w14:textId="77777777" w:rsidR="008C0DBD" w:rsidRPr="007C266E" w:rsidRDefault="008C0DBD"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Hidroelectrica </w:t>
      </w:r>
      <w:r w:rsidR="00A05AD9" w:rsidRPr="007C266E">
        <w:rPr>
          <w:rFonts w:ascii="Times New Roman" w:hAnsi="Times New Roman" w:cs="Times New Roman"/>
          <w:sz w:val="23"/>
          <w:szCs w:val="23"/>
          <w:lang w:val="ro-RO"/>
        </w:rPr>
        <w:t xml:space="preserve">are în exploatare 187 centrale </w:t>
      </w:r>
      <w:r w:rsidRPr="007C266E">
        <w:rPr>
          <w:rFonts w:ascii="Times New Roman" w:hAnsi="Times New Roman" w:cs="Times New Roman"/>
          <w:sz w:val="23"/>
          <w:szCs w:val="23"/>
          <w:lang w:val="ro-RO"/>
        </w:rPr>
        <w:t>și 430 grupuri hidroenergetice cu o putere instalată totală de 6.330,672 MW. În anu</w:t>
      </w:r>
      <w:r w:rsidR="00A05AD9" w:rsidRPr="007C266E">
        <w:rPr>
          <w:rFonts w:ascii="Times New Roman" w:hAnsi="Times New Roman" w:cs="Times New Roman"/>
          <w:sz w:val="23"/>
          <w:szCs w:val="23"/>
          <w:lang w:val="ro-RO"/>
        </w:rPr>
        <w:t>l 2019, compania a produs peste</w:t>
      </w:r>
      <w:r w:rsidRPr="007C266E">
        <w:rPr>
          <w:rFonts w:ascii="Times New Roman" w:hAnsi="Times New Roman" w:cs="Times New Roman"/>
          <w:sz w:val="23"/>
          <w:szCs w:val="23"/>
          <w:lang w:val="ro-RO"/>
        </w:rPr>
        <w:t xml:space="preserve"> 15 TWh, înregistrând un profit net de 861 milioane lei. Hidroelectrica este lider în producția de energie electrică și principalul furnizor de servicii tehnologice de sistem din România.</w:t>
      </w:r>
    </w:p>
    <w:p w14:paraId="4BD9619A" w14:textId="77777777" w:rsidR="008C0DBD" w:rsidRPr="007C266E" w:rsidRDefault="008C0DBD" w:rsidP="009E5804">
      <w:pPr>
        <w:spacing w:after="0" w:line="240" w:lineRule="auto"/>
        <w:jc w:val="both"/>
        <w:rPr>
          <w:rFonts w:ascii="Times New Roman" w:hAnsi="Times New Roman" w:cs="Times New Roman"/>
          <w:sz w:val="23"/>
          <w:szCs w:val="23"/>
          <w:lang w:val="ro-RO"/>
        </w:rPr>
      </w:pPr>
    </w:p>
    <w:p w14:paraId="6D823E90" w14:textId="77777777" w:rsidR="008C0DBD" w:rsidRPr="007C266E" w:rsidRDefault="008C0DBD" w:rsidP="009A53AA">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SPEEH Hidroelectrica SA este deținută de statul român, prin Ministerul Economiei, Energiei și Mediului de Afaceri (80,06% din acțiuni) și de Fondul Proprietatea (19,94% din acțiuni) și se pregătește pentru listarea la bursă.Conform </w:t>
      </w:r>
      <w:r w:rsidRPr="007C266E">
        <w:rPr>
          <w:rFonts w:ascii="Times New Roman" w:hAnsi="Times New Roman" w:cs="Times New Roman"/>
          <w:i/>
          <w:sz w:val="23"/>
          <w:szCs w:val="23"/>
          <w:lang w:val="ro-RO"/>
        </w:rPr>
        <w:t>Strategiei de investiții a Hidroelectrica pentru perioada 2020-2025</w:t>
      </w:r>
      <w:r w:rsidRPr="007C266E">
        <w:rPr>
          <w:rFonts w:ascii="Times New Roman" w:hAnsi="Times New Roman" w:cs="Times New Roman"/>
          <w:sz w:val="23"/>
          <w:szCs w:val="23"/>
          <w:lang w:val="ro-RO"/>
        </w:rPr>
        <w:t xml:space="preserve">, compania și-a propus finalizarea investițiilor aflate în execuție, realizarea de noi capacități atât pe râurile interioare, cât și pe  fluviul Dunărea (estimând o putere instalată totală de 713,64 MW și o producție medie anuală de 3.396,79 GWh/an), retehnologizarea și modernizarea grupurilor în funcție de starea tehnică și de depășirea duratei de viață a </w:t>
      </w:r>
      <w:r w:rsidRPr="007C266E">
        <w:rPr>
          <w:rFonts w:ascii="Times New Roman" w:hAnsi="Times New Roman" w:cs="Times New Roman"/>
          <w:sz w:val="23"/>
          <w:szCs w:val="23"/>
          <w:lang w:val="ro-RO"/>
        </w:rPr>
        <w:lastRenderedPageBreak/>
        <w:t xml:space="preserve">acestora (estimând o putere instalată totală de 1.969,40 MW și o producție medie anuală de 4.651 GWh/an), precum și </w:t>
      </w:r>
      <w:r w:rsidRPr="007C266E">
        <w:rPr>
          <w:rFonts w:ascii="Times New Roman" w:hAnsi="Times New Roman" w:cs="Times New Roman"/>
          <w:bCs/>
          <w:sz w:val="23"/>
          <w:szCs w:val="23"/>
          <w:lang w:val="ro-RO"/>
        </w:rPr>
        <w:t>diversificarea</w:t>
      </w:r>
      <w:r w:rsidRPr="007C266E">
        <w:rPr>
          <w:rFonts w:ascii="Times New Roman" w:hAnsi="Times New Roman" w:cs="Times New Roman"/>
          <w:sz w:val="23"/>
          <w:szCs w:val="23"/>
          <w:lang w:val="ro-RO"/>
        </w:rPr>
        <w:t xml:space="preserve"> </w:t>
      </w:r>
      <w:r w:rsidRPr="007C266E">
        <w:rPr>
          <w:rFonts w:ascii="Times New Roman" w:hAnsi="Times New Roman" w:cs="Times New Roman"/>
          <w:bCs/>
          <w:sz w:val="23"/>
          <w:szCs w:val="23"/>
          <w:lang w:val="ro-RO"/>
        </w:rPr>
        <w:t>portofoliului de producție</w:t>
      </w:r>
      <w:r w:rsidRPr="007C266E">
        <w:rPr>
          <w:rFonts w:ascii="Times New Roman" w:hAnsi="Times New Roman" w:cs="Times New Roman"/>
          <w:sz w:val="23"/>
          <w:szCs w:val="23"/>
          <w:lang w:val="ro-RO"/>
        </w:rPr>
        <w:t xml:space="preserve"> prin dezvoltarea de noi capacități bazate pe alte surse regenerabile de energie: eolian onshore și offshore, fotovoltaic, biomasă, producție de energie bazată pe hidrogen (estimând o putere instalată totală de peste 655 MW și o producție medie anuală de 1.763,92 GWh/an);</w:t>
      </w:r>
    </w:p>
    <w:p w14:paraId="38A7108D" w14:textId="77777777" w:rsidR="008C0DBD" w:rsidRPr="007C266E" w:rsidRDefault="008C0DBD" w:rsidP="009E5804">
      <w:pPr>
        <w:spacing w:after="0" w:line="240" w:lineRule="auto"/>
        <w:jc w:val="both"/>
        <w:rPr>
          <w:rFonts w:ascii="Times New Roman" w:hAnsi="Times New Roman" w:cs="Times New Roman"/>
          <w:sz w:val="23"/>
          <w:szCs w:val="23"/>
          <w:highlight w:val="yellow"/>
          <w:lang w:val="ro-RO"/>
        </w:rPr>
      </w:pPr>
      <w:r w:rsidRPr="007C266E">
        <w:rPr>
          <w:rFonts w:ascii="Times New Roman" w:hAnsi="Times New Roman" w:cs="Times New Roman"/>
          <w:sz w:val="23"/>
          <w:szCs w:val="23"/>
          <w:highlight w:val="yellow"/>
          <w:lang w:val="ro-RO"/>
        </w:rPr>
        <w:t xml:space="preserve"> </w:t>
      </w:r>
    </w:p>
    <w:p w14:paraId="7C32BCF9" w14:textId="77777777" w:rsidR="008C0DBD" w:rsidRPr="007C266E" w:rsidRDefault="008C0DBD"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Hidroelectrica SA</w:t>
      </w:r>
      <w:r w:rsidR="00A05AD9" w:rsidRPr="007C266E">
        <w:rPr>
          <w:rFonts w:ascii="Times New Roman" w:hAnsi="Times New Roman" w:cs="Times New Roman"/>
          <w:sz w:val="23"/>
          <w:szCs w:val="23"/>
          <w:lang w:val="ro-RO"/>
        </w:rPr>
        <w:t xml:space="preserve"> avea, la finele anului  2019, </w:t>
      </w:r>
      <w:r w:rsidRPr="007C266E">
        <w:rPr>
          <w:rFonts w:ascii="Times New Roman" w:hAnsi="Times New Roman" w:cs="Times New Roman"/>
          <w:sz w:val="23"/>
          <w:szCs w:val="23"/>
          <w:lang w:val="ro-RO"/>
        </w:rPr>
        <w:t>3428 angajați.</w:t>
      </w:r>
    </w:p>
    <w:p w14:paraId="41888ECC" w14:textId="77777777" w:rsidR="00EF34FA" w:rsidRPr="007C266E" w:rsidRDefault="00EF34FA" w:rsidP="009E5804">
      <w:pPr>
        <w:spacing w:after="0" w:line="240" w:lineRule="auto"/>
        <w:jc w:val="both"/>
        <w:rPr>
          <w:rFonts w:ascii="Times New Roman" w:hAnsi="Times New Roman" w:cs="Times New Roman"/>
          <w:sz w:val="23"/>
          <w:szCs w:val="23"/>
          <w:highlight w:val="yellow"/>
          <w:lang w:val="ro-RO"/>
        </w:rPr>
      </w:pPr>
    </w:p>
    <w:p w14:paraId="2EDB0925" w14:textId="77777777" w:rsidR="00EF34FA" w:rsidRPr="007C266E" w:rsidRDefault="00C04B59" w:rsidP="009E5804">
      <w:pPr>
        <w:shd w:val="clear" w:color="auto" w:fill="FFFFFF"/>
        <w:spacing w:after="0" w:line="240" w:lineRule="auto"/>
        <w:jc w:val="both"/>
        <w:rPr>
          <w:rFonts w:ascii="Times New Roman" w:eastAsia="Times New Roman" w:hAnsi="Times New Roman" w:cs="Times New Roman"/>
          <w:b/>
          <w:sz w:val="23"/>
          <w:szCs w:val="23"/>
          <w:lang w:val="ro-RO"/>
        </w:rPr>
      </w:pPr>
      <w:r w:rsidRPr="007C266E">
        <w:rPr>
          <w:rFonts w:ascii="Times New Roman" w:eastAsia="Times New Roman" w:hAnsi="Times New Roman" w:cs="Times New Roman"/>
          <w:b/>
          <w:sz w:val="23"/>
          <w:szCs w:val="23"/>
          <w:lang w:val="ro-RO"/>
        </w:rPr>
        <w:t xml:space="preserve">SN NUCLEARELECTRICA SA </w:t>
      </w:r>
    </w:p>
    <w:p w14:paraId="23FA8C89" w14:textId="77777777" w:rsidR="008C0807" w:rsidRPr="007C266E" w:rsidRDefault="008C0807" w:rsidP="009E5804">
      <w:pPr>
        <w:shd w:val="clear" w:color="auto" w:fill="FFFFFF"/>
        <w:spacing w:after="0" w:line="240" w:lineRule="auto"/>
        <w:jc w:val="both"/>
        <w:rPr>
          <w:rFonts w:ascii="Times New Roman" w:eastAsia="Times New Roman" w:hAnsi="Times New Roman" w:cs="Times New Roman"/>
          <w:b/>
          <w:sz w:val="23"/>
          <w:szCs w:val="23"/>
          <w:lang w:val="ro-RO"/>
        </w:rPr>
      </w:pPr>
    </w:p>
    <w:p w14:paraId="5DEE312B" w14:textId="77777777" w:rsidR="002415D8" w:rsidRPr="007C266E" w:rsidRDefault="002415D8" w:rsidP="009E5804">
      <w:pPr>
        <w:shd w:val="clear" w:color="auto" w:fill="FFFFFF"/>
        <w:spacing w:after="0" w:line="240" w:lineRule="auto"/>
        <w:jc w:val="both"/>
        <w:rPr>
          <w:rFonts w:ascii="Times New Roman" w:eastAsia="Times New Roman" w:hAnsi="Times New Roman" w:cs="Times New Roman"/>
          <w:sz w:val="23"/>
          <w:szCs w:val="23"/>
          <w:lang w:val="ro-RO"/>
        </w:rPr>
      </w:pPr>
      <w:r w:rsidRPr="007C266E">
        <w:rPr>
          <w:rFonts w:ascii="Times New Roman" w:eastAsia="Times New Roman" w:hAnsi="Times New Roman" w:cs="Times New Roman"/>
          <w:sz w:val="23"/>
          <w:szCs w:val="23"/>
          <w:lang w:val="ro-RO"/>
        </w:rPr>
        <w:t xml:space="preserve">SN Nuclearelectrica SA produce energie electrică, termică și, de asemenea, combustibil nuclear. În anul 2019 producția totală de energie electrică a fost de 11,28 TWh, iar profitul net al companiei a fost de peste </w:t>
      </w:r>
      <w:r w:rsidRPr="007C266E">
        <w:rPr>
          <w:rFonts w:ascii="Times New Roman" w:hAnsi="Times New Roman" w:cs="Times New Roman"/>
          <w:sz w:val="23"/>
          <w:szCs w:val="23"/>
          <w:lang w:val="ro-RO"/>
        </w:rPr>
        <w:t>535.667 mii</w:t>
      </w:r>
      <w:r w:rsidRPr="007C266E">
        <w:rPr>
          <w:rFonts w:ascii="Times New Roman" w:eastAsia="Times New Roman" w:hAnsi="Times New Roman" w:cs="Times New Roman"/>
          <w:sz w:val="23"/>
          <w:szCs w:val="23"/>
          <w:lang w:val="ro-RO"/>
        </w:rPr>
        <w:t xml:space="preserve"> milioane lei.</w:t>
      </w:r>
    </w:p>
    <w:p w14:paraId="15E130D1" w14:textId="77777777" w:rsidR="002415D8" w:rsidRPr="007C266E" w:rsidRDefault="002415D8" w:rsidP="009E5804">
      <w:pPr>
        <w:shd w:val="clear" w:color="auto" w:fill="FFFFFF"/>
        <w:spacing w:after="0" w:line="240" w:lineRule="auto"/>
        <w:jc w:val="both"/>
        <w:rPr>
          <w:rFonts w:ascii="Times New Roman" w:eastAsia="Times New Roman" w:hAnsi="Times New Roman" w:cs="Times New Roman"/>
          <w:sz w:val="23"/>
          <w:szCs w:val="23"/>
          <w:lang w:val="ro-RO"/>
        </w:rPr>
      </w:pPr>
    </w:p>
    <w:p w14:paraId="7B1A6E81" w14:textId="77777777" w:rsidR="002415D8" w:rsidRPr="007C266E" w:rsidRDefault="002415D8" w:rsidP="009E5804">
      <w:pPr>
        <w:shd w:val="clear" w:color="auto" w:fill="FFFFFF"/>
        <w:spacing w:after="0" w:line="240" w:lineRule="auto"/>
        <w:jc w:val="both"/>
        <w:rPr>
          <w:rFonts w:ascii="Times New Roman" w:eastAsia="Times New Roman" w:hAnsi="Times New Roman" w:cs="Times New Roman"/>
          <w:sz w:val="23"/>
          <w:szCs w:val="23"/>
          <w:lang w:val="ro-RO"/>
        </w:rPr>
      </w:pPr>
      <w:r w:rsidRPr="007C266E">
        <w:rPr>
          <w:rFonts w:ascii="Times New Roman" w:eastAsia="Times New Roman" w:hAnsi="Times New Roman" w:cs="Times New Roman"/>
          <w:sz w:val="23"/>
          <w:szCs w:val="23"/>
          <w:lang w:val="ro-RO"/>
        </w:rPr>
        <w:t>Compania este listată la bursă, iar structura acționariatului se prezintă astfel: statul român, prin Ministerul Economiei, Ene</w:t>
      </w:r>
      <w:r w:rsidR="00A05AD9" w:rsidRPr="007C266E">
        <w:rPr>
          <w:rFonts w:ascii="Times New Roman" w:eastAsia="Times New Roman" w:hAnsi="Times New Roman" w:cs="Times New Roman"/>
          <w:sz w:val="23"/>
          <w:szCs w:val="23"/>
          <w:lang w:val="ro-RO"/>
        </w:rPr>
        <w:t xml:space="preserve">rgiei și Mediului de Afaceri </w:t>
      </w:r>
      <w:r w:rsidRPr="007C266E">
        <w:rPr>
          <w:rFonts w:ascii="Times New Roman" w:eastAsia="Times New Roman" w:hAnsi="Times New Roman" w:cs="Times New Roman"/>
          <w:sz w:val="23"/>
          <w:szCs w:val="23"/>
          <w:lang w:val="ro-RO"/>
        </w:rPr>
        <w:t>- 82,49% din acțiuni, Fondul Proprietatea - 7,053%, alți acționari -  10,45%.</w:t>
      </w:r>
    </w:p>
    <w:p w14:paraId="400E4DFD" w14:textId="77777777" w:rsidR="002415D8" w:rsidRPr="007C266E" w:rsidRDefault="002415D8" w:rsidP="009E5804">
      <w:pPr>
        <w:shd w:val="clear" w:color="auto" w:fill="FFFFFF"/>
        <w:spacing w:after="0" w:line="240" w:lineRule="auto"/>
        <w:jc w:val="both"/>
        <w:rPr>
          <w:rFonts w:ascii="Times New Roman" w:eastAsia="Times New Roman" w:hAnsi="Times New Roman" w:cs="Times New Roman"/>
          <w:sz w:val="23"/>
          <w:szCs w:val="23"/>
          <w:lang w:val="ro-RO"/>
        </w:rPr>
      </w:pPr>
    </w:p>
    <w:p w14:paraId="7FD2B7F3" w14:textId="77777777" w:rsidR="002415D8" w:rsidRPr="007C266E" w:rsidRDefault="002415D8" w:rsidP="009E5804">
      <w:pPr>
        <w:shd w:val="clear" w:color="auto" w:fill="FFFFFF"/>
        <w:spacing w:after="0" w:line="240" w:lineRule="auto"/>
        <w:jc w:val="both"/>
        <w:rPr>
          <w:rFonts w:ascii="Times New Roman" w:eastAsia="Times New Roman" w:hAnsi="Times New Roman" w:cs="Times New Roman"/>
          <w:sz w:val="23"/>
          <w:szCs w:val="23"/>
          <w:lang w:val="ro-RO"/>
        </w:rPr>
      </w:pPr>
      <w:r w:rsidRPr="007C266E">
        <w:rPr>
          <w:rFonts w:ascii="Times New Roman" w:eastAsia="Times New Roman" w:hAnsi="Times New Roman" w:cs="Times New Roman"/>
          <w:sz w:val="23"/>
          <w:szCs w:val="23"/>
          <w:lang w:val="ro-RO"/>
        </w:rPr>
        <w:t>Nuclearelectrica are doua sucursale, fără personalitate juridică - Sucursala CNE Cernavoda, care exploatează Unitatile 1 și 2 de la CNE Cernavodă,  precum și serviciile auxiliare, și Sucursala FCN Pitesti, întreprindere calificată de combustibil nuclear.</w:t>
      </w:r>
    </w:p>
    <w:p w14:paraId="51E7EBB3" w14:textId="77777777" w:rsidR="002415D8" w:rsidRPr="007C266E" w:rsidRDefault="002415D8" w:rsidP="009E5804">
      <w:pPr>
        <w:shd w:val="clear" w:color="auto" w:fill="FFFFFF"/>
        <w:spacing w:after="0" w:line="240" w:lineRule="auto"/>
        <w:jc w:val="both"/>
        <w:rPr>
          <w:rFonts w:ascii="Times New Roman" w:eastAsia="Times New Roman" w:hAnsi="Times New Roman" w:cs="Times New Roman"/>
          <w:sz w:val="23"/>
          <w:szCs w:val="23"/>
          <w:lang w:val="ro-RO"/>
        </w:rPr>
      </w:pPr>
    </w:p>
    <w:p w14:paraId="494A06C5" w14:textId="77777777" w:rsidR="002415D8" w:rsidRPr="007C266E" w:rsidRDefault="002415D8" w:rsidP="009E5804">
      <w:pPr>
        <w:shd w:val="clear" w:color="auto" w:fill="FFFFFF"/>
        <w:spacing w:after="0" w:line="240" w:lineRule="auto"/>
        <w:jc w:val="both"/>
        <w:rPr>
          <w:rFonts w:ascii="Times New Roman" w:eastAsia="Times New Roman" w:hAnsi="Times New Roman" w:cs="Times New Roman"/>
          <w:sz w:val="23"/>
          <w:szCs w:val="23"/>
          <w:lang w:val="ro-RO"/>
        </w:rPr>
      </w:pPr>
      <w:r w:rsidRPr="007C266E">
        <w:rPr>
          <w:rFonts w:ascii="Times New Roman" w:eastAsia="Times New Roman" w:hAnsi="Times New Roman" w:cs="Times New Roman"/>
          <w:sz w:val="23"/>
          <w:szCs w:val="23"/>
          <w:lang w:val="ro-RO"/>
        </w:rPr>
        <w:t>De asemenea, Nuclearelectrica este unicul acționar al companiei de proiect EnergoNuclear, pentru realizarea reactoarelor 3 și 4 de la Cernavodă.</w:t>
      </w:r>
    </w:p>
    <w:p w14:paraId="37F29E1E" w14:textId="77777777" w:rsidR="002415D8" w:rsidRPr="007C266E" w:rsidRDefault="002415D8" w:rsidP="009E5804">
      <w:pPr>
        <w:shd w:val="clear" w:color="auto" w:fill="FFFFFF"/>
        <w:spacing w:after="0" w:line="240" w:lineRule="auto"/>
        <w:rPr>
          <w:rFonts w:ascii="Times New Roman" w:eastAsia="Times New Roman" w:hAnsi="Times New Roman" w:cs="Times New Roman"/>
          <w:sz w:val="23"/>
          <w:szCs w:val="23"/>
          <w:lang w:val="ro-RO"/>
        </w:rPr>
      </w:pPr>
    </w:p>
    <w:p w14:paraId="71A8A39C" w14:textId="77777777" w:rsidR="002415D8" w:rsidRPr="007C266E" w:rsidRDefault="002415D8" w:rsidP="009E5804">
      <w:pPr>
        <w:spacing w:after="0" w:line="240" w:lineRule="auto"/>
        <w:rPr>
          <w:rFonts w:ascii="Times New Roman" w:hAnsi="Times New Roman" w:cs="Times New Roman"/>
          <w:sz w:val="23"/>
          <w:szCs w:val="23"/>
          <w:lang w:val="ro-RO"/>
        </w:rPr>
      </w:pPr>
      <w:r w:rsidRPr="007C266E">
        <w:rPr>
          <w:rFonts w:ascii="Times New Roman" w:eastAsia="Times New Roman" w:hAnsi="Times New Roman" w:cs="Times New Roman"/>
          <w:sz w:val="23"/>
          <w:szCs w:val="23"/>
          <w:lang w:val="ro-RO"/>
        </w:rPr>
        <w:t xml:space="preserve">Numărul de angajați ai companiei în anul 2019 a fost de 2153. </w:t>
      </w:r>
    </w:p>
    <w:p w14:paraId="6D999925" w14:textId="77777777" w:rsidR="00EF34FA" w:rsidRPr="007C266E" w:rsidRDefault="00EF34FA" w:rsidP="009E5804">
      <w:pPr>
        <w:spacing w:after="0" w:line="240" w:lineRule="auto"/>
        <w:jc w:val="both"/>
        <w:rPr>
          <w:rFonts w:ascii="Times New Roman" w:hAnsi="Times New Roman" w:cs="Times New Roman"/>
          <w:sz w:val="23"/>
          <w:szCs w:val="23"/>
          <w:lang w:val="ro-RO"/>
        </w:rPr>
      </w:pPr>
    </w:p>
    <w:p w14:paraId="38951BD9" w14:textId="77777777" w:rsidR="008777D4" w:rsidRPr="007C266E" w:rsidRDefault="008516B4"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SNGN </w:t>
      </w:r>
      <w:r w:rsidR="008777D4" w:rsidRPr="007C266E">
        <w:rPr>
          <w:rFonts w:ascii="Times New Roman" w:hAnsi="Times New Roman" w:cs="Times New Roman"/>
          <w:b/>
          <w:sz w:val="23"/>
          <w:szCs w:val="23"/>
          <w:lang w:val="ro-RO"/>
        </w:rPr>
        <w:t>ROMGAZ SA</w:t>
      </w:r>
    </w:p>
    <w:p w14:paraId="4B5A33F7" w14:textId="77777777" w:rsidR="00A56A1A" w:rsidRPr="007C266E" w:rsidRDefault="00A56A1A" w:rsidP="009E5804">
      <w:pPr>
        <w:spacing w:after="0" w:line="240" w:lineRule="auto"/>
        <w:jc w:val="both"/>
        <w:rPr>
          <w:rFonts w:ascii="Times New Roman" w:hAnsi="Times New Roman" w:cs="Times New Roman"/>
          <w:sz w:val="23"/>
          <w:szCs w:val="23"/>
          <w:lang w:val="ro-RO"/>
        </w:rPr>
      </w:pPr>
    </w:p>
    <w:p w14:paraId="5E88664B" w14:textId="77777777" w:rsidR="008777D4" w:rsidRPr="007C266E" w:rsidRDefault="00122D44" w:rsidP="009E5804">
      <w:pPr>
        <w:spacing w:after="0" w:line="240" w:lineRule="auto"/>
        <w:jc w:val="both"/>
        <w:rPr>
          <w:rFonts w:ascii="Times New Roman" w:hAnsi="Times New Roman" w:cs="Times New Roman"/>
          <w:sz w:val="23"/>
          <w:szCs w:val="23"/>
          <w:shd w:val="clear" w:color="auto" w:fill="FFFFFF"/>
          <w:lang w:val="ro-RO"/>
        </w:rPr>
      </w:pPr>
      <w:r w:rsidRPr="007C266E">
        <w:rPr>
          <w:rFonts w:ascii="Times New Roman" w:hAnsi="Times New Roman" w:cs="Times New Roman"/>
          <w:sz w:val="23"/>
          <w:szCs w:val="23"/>
          <w:shd w:val="clear" w:color="auto" w:fill="FFFFFF"/>
          <w:lang w:val="ro-RO"/>
        </w:rPr>
        <w:t>ROMGAZ</w:t>
      </w:r>
      <w:r w:rsidR="008777D4" w:rsidRPr="007C266E">
        <w:rPr>
          <w:rFonts w:ascii="Times New Roman" w:hAnsi="Times New Roman" w:cs="Times New Roman"/>
          <w:sz w:val="23"/>
          <w:szCs w:val="23"/>
          <w:shd w:val="clear" w:color="auto" w:fill="FFFFFF"/>
          <w:lang w:val="ro-RO"/>
        </w:rPr>
        <w:t xml:space="preserve"> este cel mai mare producător și principal furnizor de gaze naturale din </w:t>
      </w:r>
      <w:r w:rsidR="008777D4" w:rsidRPr="007C266E">
        <w:rPr>
          <w:rFonts w:ascii="Times New Roman" w:hAnsi="Times New Roman" w:cs="Times New Roman"/>
          <w:sz w:val="23"/>
          <w:szCs w:val="23"/>
          <w:shd w:val="clear" w:color="auto" w:fill="FFFFFF"/>
          <w:lang w:val="ro-RO"/>
        </w:rPr>
        <w:lastRenderedPageBreak/>
        <w:t>România. Compania este admisă la tranzacționare din anul 2013 pe piața </w:t>
      </w:r>
      <w:r w:rsidR="008777D4" w:rsidRPr="007C266E">
        <w:rPr>
          <w:rStyle w:val="Strong"/>
          <w:rFonts w:ascii="Times New Roman" w:hAnsi="Times New Roman" w:cs="Times New Roman"/>
          <w:b w:val="0"/>
          <w:sz w:val="23"/>
          <w:szCs w:val="23"/>
          <w:shd w:val="clear" w:color="auto" w:fill="FFFFFF"/>
          <w:lang w:val="ro-RO"/>
        </w:rPr>
        <w:t>Bursei de Valori din București</w:t>
      </w:r>
      <w:r w:rsidR="008777D4" w:rsidRPr="007C266E">
        <w:rPr>
          <w:rFonts w:ascii="Times New Roman" w:hAnsi="Times New Roman" w:cs="Times New Roman"/>
          <w:sz w:val="23"/>
          <w:szCs w:val="23"/>
          <w:shd w:val="clear" w:color="auto" w:fill="FFFFFF"/>
          <w:lang w:val="ro-RO"/>
        </w:rPr>
        <w:t> și a </w:t>
      </w:r>
      <w:r w:rsidR="008777D4" w:rsidRPr="007C266E">
        <w:rPr>
          <w:rStyle w:val="Strong"/>
          <w:rFonts w:ascii="Times New Roman" w:hAnsi="Times New Roman" w:cs="Times New Roman"/>
          <w:b w:val="0"/>
          <w:sz w:val="23"/>
          <w:szCs w:val="23"/>
          <w:shd w:val="clear" w:color="auto" w:fill="FFFFFF"/>
          <w:lang w:val="ro-RO"/>
        </w:rPr>
        <w:t>Bursei din Londra</w:t>
      </w:r>
      <w:r w:rsidR="008777D4" w:rsidRPr="007C266E">
        <w:rPr>
          <w:rStyle w:val="Strong"/>
          <w:rFonts w:ascii="Times New Roman" w:hAnsi="Times New Roman" w:cs="Times New Roman"/>
          <w:sz w:val="23"/>
          <w:szCs w:val="23"/>
          <w:shd w:val="clear" w:color="auto" w:fill="FFFFFF"/>
          <w:lang w:val="ro-RO"/>
        </w:rPr>
        <w:t xml:space="preserve"> </w:t>
      </w:r>
      <w:r w:rsidR="008777D4" w:rsidRPr="007C266E">
        <w:rPr>
          <w:rStyle w:val="Strong"/>
          <w:rFonts w:ascii="Times New Roman" w:hAnsi="Times New Roman" w:cs="Times New Roman"/>
          <w:b w:val="0"/>
          <w:sz w:val="23"/>
          <w:szCs w:val="23"/>
          <w:shd w:val="clear" w:color="auto" w:fill="FFFFFF"/>
          <w:lang w:val="ro-RO"/>
        </w:rPr>
        <w:t>(LSE)</w:t>
      </w:r>
      <w:r w:rsidR="008777D4" w:rsidRPr="007C266E">
        <w:rPr>
          <w:rFonts w:ascii="Times New Roman" w:hAnsi="Times New Roman" w:cs="Times New Roman"/>
          <w:sz w:val="23"/>
          <w:szCs w:val="23"/>
          <w:shd w:val="clear" w:color="auto" w:fill="FFFFFF"/>
          <w:lang w:val="ro-RO"/>
        </w:rPr>
        <w:t>. </w:t>
      </w:r>
    </w:p>
    <w:p w14:paraId="31C923BD" w14:textId="77777777" w:rsidR="008777D4" w:rsidRPr="007C266E" w:rsidRDefault="008777D4" w:rsidP="009E5804">
      <w:pPr>
        <w:spacing w:after="0" w:line="240" w:lineRule="auto"/>
        <w:jc w:val="both"/>
        <w:rPr>
          <w:rFonts w:ascii="Times New Roman" w:hAnsi="Times New Roman" w:cs="Times New Roman"/>
          <w:sz w:val="23"/>
          <w:szCs w:val="23"/>
          <w:shd w:val="clear" w:color="auto" w:fill="FFFFFF"/>
          <w:lang w:val="ro-RO"/>
        </w:rPr>
      </w:pPr>
    </w:p>
    <w:p w14:paraId="0C6CD0FF" w14:textId="77777777" w:rsidR="008777D4" w:rsidRPr="007C266E" w:rsidRDefault="008777D4" w:rsidP="009E5804">
      <w:pPr>
        <w:spacing w:after="0" w:line="240" w:lineRule="auto"/>
        <w:jc w:val="both"/>
        <w:rPr>
          <w:rFonts w:ascii="Times New Roman" w:hAnsi="Times New Roman" w:cs="Times New Roman"/>
          <w:sz w:val="23"/>
          <w:szCs w:val="23"/>
          <w:shd w:val="clear" w:color="auto" w:fill="FFFFFF"/>
          <w:lang w:val="ro-RO"/>
        </w:rPr>
      </w:pPr>
      <w:r w:rsidRPr="007C266E">
        <w:rPr>
          <w:rFonts w:ascii="Times New Roman" w:hAnsi="Times New Roman" w:cs="Times New Roman"/>
          <w:sz w:val="23"/>
          <w:szCs w:val="23"/>
          <w:shd w:val="clear" w:color="auto" w:fill="FFFFFF"/>
          <w:lang w:val="ro-RO"/>
        </w:rPr>
        <w:t xml:space="preserve">Actionar principal este statul român prin </w:t>
      </w:r>
      <w:r w:rsidR="00E00836" w:rsidRPr="007C266E">
        <w:rPr>
          <w:rFonts w:ascii="Times New Roman" w:hAnsi="Times New Roman" w:cs="Times New Roman"/>
          <w:sz w:val="23"/>
          <w:szCs w:val="23"/>
          <w:shd w:val="clear" w:color="auto" w:fill="FFFFFF"/>
          <w:lang w:val="ro-RO"/>
        </w:rPr>
        <w:t>Ministerul Economiei, Energiei și Mediului de Afaceri</w:t>
      </w:r>
      <w:r w:rsidRPr="007C266E">
        <w:rPr>
          <w:rFonts w:ascii="Times New Roman" w:hAnsi="Times New Roman" w:cs="Times New Roman"/>
          <w:sz w:val="23"/>
          <w:szCs w:val="23"/>
          <w:shd w:val="clear" w:color="auto" w:fill="FFFFFF"/>
          <w:lang w:val="ro-RO"/>
        </w:rPr>
        <w:t xml:space="preserve"> cu o participație de 70%.</w:t>
      </w:r>
    </w:p>
    <w:p w14:paraId="459A771E" w14:textId="77777777" w:rsidR="008516B4" w:rsidRPr="007C266E" w:rsidRDefault="008516B4" w:rsidP="009E5804">
      <w:pPr>
        <w:spacing w:after="0" w:line="240" w:lineRule="auto"/>
        <w:jc w:val="both"/>
        <w:rPr>
          <w:rFonts w:ascii="Times New Roman" w:hAnsi="Times New Roman" w:cs="Times New Roman"/>
          <w:sz w:val="23"/>
          <w:szCs w:val="23"/>
          <w:shd w:val="clear" w:color="auto" w:fill="FFFFFF"/>
          <w:lang w:val="ro-RO"/>
        </w:rPr>
      </w:pPr>
    </w:p>
    <w:p w14:paraId="51D88161" w14:textId="77777777" w:rsidR="006020D8" w:rsidRPr="007C266E" w:rsidRDefault="006020D8" w:rsidP="009E5804">
      <w:pPr>
        <w:spacing w:after="0" w:line="240" w:lineRule="auto"/>
        <w:jc w:val="both"/>
        <w:rPr>
          <w:rFonts w:ascii="Times New Roman" w:eastAsia="Calibri" w:hAnsi="Times New Roman" w:cs="Times New Roman"/>
          <w:sz w:val="23"/>
          <w:szCs w:val="23"/>
          <w:highlight w:val="yellow"/>
          <w:shd w:val="clear" w:color="auto" w:fill="FFFFFF"/>
          <w:lang w:val="ro-RO"/>
        </w:rPr>
      </w:pPr>
      <w:r w:rsidRPr="007C266E">
        <w:rPr>
          <w:rFonts w:ascii="Times New Roman" w:eastAsia="Calibri" w:hAnsi="Times New Roman" w:cs="Times New Roman"/>
          <w:sz w:val="23"/>
          <w:szCs w:val="23"/>
          <w:lang w:val="ro-RO"/>
        </w:rPr>
        <w:t>Producţia de gaze naturale a societăţii aferentă anului 2019</w:t>
      </w:r>
      <w:r w:rsidR="00A05AD9" w:rsidRPr="007C266E">
        <w:rPr>
          <w:rFonts w:ascii="Times New Roman" w:eastAsia="Calibri" w:hAnsi="Times New Roman" w:cs="Times New Roman"/>
          <w:sz w:val="23"/>
          <w:szCs w:val="23"/>
          <w:lang w:val="ro-RO"/>
        </w:rPr>
        <w:t xml:space="preserve"> a fost de 5,277 mil.</w:t>
      </w:r>
      <w:r w:rsidRPr="007C266E">
        <w:rPr>
          <w:rFonts w:ascii="Times New Roman" w:eastAsia="Calibri" w:hAnsi="Times New Roman" w:cs="Times New Roman"/>
          <w:sz w:val="23"/>
          <w:szCs w:val="23"/>
          <w:lang w:val="ro-RO"/>
        </w:rPr>
        <w:t>mc</w:t>
      </w:r>
      <w:r w:rsidR="00A05AD9" w:rsidRPr="007C266E">
        <w:rPr>
          <w:rFonts w:ascii="Times New Roman" w:eastAsia="Calibri" w:hAnsi="Times New Roman" w:cs="Times New Roman"/>
          <w:sz w:val="23"/>
          <w:szCs w:val="23"/>
          <w:lang w:val="ro-RO"/>
        </w:rPr>
        <w:t>.</w:t>
      </w:r>
      <w:r w:rsidRPr="007C266E">
        <w:rPr>
          <w:rFonts w:ascii="Times New Roman" w:eastAsia="Calibri" w:hAnsi="Times New Roman" w:cs="Times New Roman"/>
          <w:sz w:val="23"/>
          <w:szCs w:val="23"/>
          <w:lang w:val="ro-RO"/>
        </w:rPr>
        <w:t>, fiind cu 1,05% mai mică decât producţia aferentă anului 2018. Cu această producţie, conform datelor estimate, Romgaz a avut o cotă de piaţă de cca.56% a livrărilor în consumul de gaze provenite din producţia internă şi o cotă de cca.44% a livrărilor în consumul total al României.</w:t>
      </w:r>
    </w:p>
    <w:p w14:paraId="79E84B03" w14:textId="77777777" w:rsidR="006020D8" w:rsidRPr="007C266E" w:rsidRDefault="006020D8" w:rsidP="009E5804">
      <w:pPr>
        <w:spacing w:after="0" w:line="240" w:lineRule="auto"/>
        <w:jc w:val="both"/>
        <w:rPr>
          <w:rFonts w:ascii="Times New Roman" w:eastAsia="Calibri" w:hAnsi="Times New Roman" w:cs="Times New Roman"/>
          <w:sz w:val="23"/>
          <w:szCs w:val="23"/>
          <w:lang w:val="ro-RO"/>
        </w:rPr>
      </w:pPr>
      <w:r w:rsidRPr="007C266E">
        <w:rPr>
          <w:rFonts w:ascii="Times New Roman" w:eastAsia="Calibri" w:hAnsi="Times New Roman" w:cs="Times New Roman"/>
          <w:sz w:val="23"/>
          <w:szCs w:val="23"/>
          <w:lang w:val="ro-RO"/>
        </w:rPr>
        <w:t>Societatea a înregistrat în anul 2017 un profit net de 1.854,7 mil. lei.</w:t>
      </w:r>
    </w:p>
    <w:p w14:paraId="5F92BE0E" w14:textId="77777777" w:rsidR="006020D8" w:rsidRPr="007C266E" w:rsidRDefault="006020D8" w:rsidP="009E5804">
      <w:pPr>
        <w:spacing w:after="0" w:line="240" w:lineRule="auto"/>
        <w:jc w:val="both"/>
        <w:rPr>
          <w:rFonts w:ascii="Times New Roman" w:eastAsia="Calibri" w:hAnsi="Times New Roman" w:cs="Times New Roman"/>
          <w:sz w:val="23"/>
          <w:szCs w:val="23"/>
          <w:lang w:val="ro-RO"/>
        </w:rPr>
      </w:pPr>
    </w:p>
    <w:p w14:paraId="1B92049E" w14:textId="77777777" w:rsidR="002415D8" w:rsidRPr="007C266E" w:rsidRDefault="002415D8" w:rsidP="009E5804">
      <w:pPr>
        <w:tabs>
          <w:tab w:val="left" w:pos="6132"/>
        </w:tabs>
        <w:spacing w:after="0" w:line="240" w:lineRule="auto"/>
        <w:jc w:val="both"/>
        <w:rPr>
          <w:rFonts w:ascii="Times New Roman" w:eastAsia="Times New Roman" w:hAnsi="Times New Roman" w:cs="Times New Roman"/>
          <w:sz w:val="23"/>
          <w:szCs w:val="23"/>
          <w:lang w:val="ro-RO" w:eastAsia="ro-RO"/>
        </w:rPr>
      </w:pPr>
      <w:r w:rsidRPr="007C266E">
        <w:rPr>
          <w:rFonts w:ascii="Times New Roman" w:eastAsia="Times New Roman" w:hAnsi="Times New Roman" w:cs="Times New Roman"/>
          <w:bCs/>
          <w:iCs/>
          <w:sz w:val="23"/>
          <w:szCs w:val="23"/>
          <w:lang w:val="ro-RO" w:eastAsia="ro-RO"/>
        </w:rPr>
        <w:t>Producţia de energie electrică</w:t>
      </w:r>
      <w:r w:rsidRPr="007C266E">
        <w:rPr>
          <w:rFonts w:ascii="Times New Roman" w:eastAsia="Times New Roman" w:hAnsi="Times New Roman" w:cs="Times New Roman"/>
          <w:b/>
          <w:bCs/>
          <w:i/>
          <w:iCs/>
          <w:sz w:val="23"/>
          <w:szCs w:val="23"/>
          <w:lang w:val="ro-RO" w:eastAsia="ro-RO"/>
        </w:rPr>
        <w:t xml:space="preserve"> </w:t>
      </w:r>
      <w:r w:rsidRPr="007C266E">
        <w:rPr>
          <w:rFonts w:ascii="Times New Roman" w:eastAsia="Times New Roman" w:hAnsi="Times New Roman" w:cs="Times New Roman"/>
          <w:sz w:val="23"/>
          <w:szCs w:val="23"/>
          <w:lang w:val="ro-RO" w:eastAsia="ro-RO"/>
        </w:rPr>
        <w:t xml:space="preserve">a Romgaz  în anul 2019 a fost de 590,13 GW, fiind cu 49,35% mai mică în comparaţie cu producţia realizată în anul 2018, ca urmare a perioadelor de indisponibilizare a grupurilor în urma lucrărilor la noua centrală. </w:t>
      </w:r>
    </w:p>
    <w:p w14:paraId="4BC7D998" w14:textId="77777777" w:rsidR="002415D8" w:rsidRPr="007C266E" w:rsidRDefault="002415D8" w:rsidP="009E5804">
      <w:pPr>
        <w:tabs>
          <w:tab w:val="left" w:pos="6132"/>
        </w:tabs>
        <w:spacing w:after="0" w:line="240" w:lineRule="auto"/>
        <w:jc w:val="both"/>
        <w:rPr>
          <w:rFonts w:ascii="Times New Roman" w:eastAsia="Times New Roman" w:hAnsi="Times New Roman" w:cs="Times New Roman"/>
          <w:sz w:val="23"/>
          <w:szCs w:val="23"/>
          <w:lang w:val="ro-RO" w:eastAsia="ro-RO"/>
        </w:rPr>
      </w:pPr>
      <w:r w:rsidRPr="007C266E">
        <w:rPr>
          <w:rFonts w:ascii="Times New Roman" w:eastAsia="Times New Roman" w:hAnsi="Times New Roman" w:cs="Times New Roman"/>
          <w:sz w:val="23"/>
          <w:szCs w:val="23"/>
          <w:lang w:val="ro-RO" w:eastAsia="ro-RO"/>
        </w:rPr>
        <w:t xml:space="preserve">Alinierea politicii Companiei la obiectivele europene și naționale face ca Romgaz să fie un jucător activ, profitabil şi competitiv pe piețele de producție a gazelor naturale şi a energiei electrice, urmărind, totodată să intre pe noi piețe, cum ar fi piața produselor petrochimice. </w:t>
      </w:r>
    </w:p>
    <w:p w14:paraId="4CF37EE6" w14:textId="77777777" w:rsidR="002415D8" w:rsidRPr="007C266E" w:rsidRDefault="002415D8" w:rsidP="009E5804">
      <w:pPr>
        <w:tabs>
          <w:tab w:val="left" w:pos="6132"/>
        </w:tabs>
        <w:spacing w:after="0" w:line="240" w:lineRule="auto"/>
        <w:ind w:left="180" w:hanging="180"/>
        <w:jc w:val="both"/>
        <w:rPr>
          <w:rFonts w:ascii="Times New Roman" w:eastAsia="Times New Roman" w:hAnsi="Times New Roman" w:cs="Times New Roman"/>
          <w:sz w:val="23"/>
          <w:szCs w:val="23"/>
          <w:lang w:val="ro-RO" w:eastAsia="ro-RO"/>
        </w:rPr>
      </w:pPr>
    </w:p>
    <w:p w14:paraId="34581FDD" w14:textId="77777777" w:rsidR="002415D8" w:rsidRPr="007C266E" w:rsidRDefault="002415D8" w:rsidP="009E5804">
      <w:pPr>
        <w:spacing w:after="0" w:line="240" w:lineRule="auto"/>
        <w:contextualSpacing/>
        <w:jc w:val="both"/>
        <w:rPr>
          <w:rFonts w:ascii="Times New Roman" w:eastAsia="Times New Roman" w:hAnsi="Times New Roman" w:cs="Times New Roman"/>
          <w:sz w:val="23"/>
          <w:szCs w:val="23"/>
          <w:lang w:val="ro-RO" w:eastAsia="ro-RO"/>
        </w:rPr>
      </w:pPr>
      <w:r w:rsidRPr="007C266E">
        <w:rPr>
          <w:rFonts w:ascii="Times New Roman" w:eastAsia="Times New Roman" w:hAnsi="Times New Roman" w:cs="Times New Roman"/>
          <w:sz w:val="23"/>
          <w:szCs w:val="23"/>
          <w:lang w:val="ro-RO" w:eastAsia="ro-RO"/>
        </w:rPr>
        <w:t xml:space="preserve">Direcţiile prioritare de investiţii ale Romgaz sunt orientate spre continuarea lucrărilor de cercetare geologică pentru descoperirea de noi rezerve de gaze naturale, dezvoltarea potenţialului de producţie, îmbunătăţirea performanţelor instalaţiilor şi echipamentelor aflate în dotare şi creşterea siguranţei în exploatare, precum și identificarea </w:t>
      </w:r>
      <w:r w:rsidRPr="007C266E">
        <w:rPr>
          <w:rFonts w:ascii="Times New Roman" w:eastAsia="Times New Roman" w:hAnsi="Times New Roman" w:cs="Times New Roman"/>
          <w:bCs/>
          <w:sz w:val="23"/>
          <w:szCs w:val="23"/>
          <w:lang w:val="ro-RO" w:eastAsia="ro-RO"/>
        </w:rPr>
        <w:t>unor noi oportunităţi de creştere şi diversificare.</w:t>
      </w:r>
    </w:p>
    <w:p w14:paraId="33CB20C0" w14:textId="77777777" w:rsidR="002415D8" w:rsidRPr="007C266E" w:rsidRDefault="002415D8" w:rsidP="009E5804">
      <w:pPr>
        <w:tabs>
          <w:tab w:val="left" w:pos="6132"/>
        </w:tabs>
        <w:spacing w:after="0" w:line="240" w:lineRule="auto"/>
        <w:ind w:left="180" w:hanging="180"/>
        <w:jc w:val="both"/>
        <w:rPr>
          <w:rFonts w:ascii="Times New Roman" w:eastAsia="Times New Roman" w:hAnsi="Times New Roman" w:cs="Times New Roman"/>
          <w:sz w:val="23"/>
          <w:szCs w:val="23"/>
          <w:lang w:val="ro-RO" w:eastAsia="ro-RO"/>
        </w:rPr>
      </w:pPr>
    </w:p>
    <w:p w14:paraId="12B439D3" w14:textId="77777777" w:rsidR="002415D8" w:rsidRDefault="002415D8" w:rsidP="009E5804">
      <w:pPr>
        <w:tabs>
          <w:tab w:val="left" w:pos="6132"/>
        </w:tabs>
        <w:spacing w:after="0" w:line="240" w:lineRule="auto"/>
        <w:contextualSpacing/>
        <w:jc w:val="both"/>
        <w:rPr>
          <w:rFonts w:ascii="Times New Roman" w:eastAsia="Times New Roman" w:hAnsi="Times New Roman" w:cs="Times New Roman"/>
          <w:sz w:val="23"/>
          <w:szCs w:val="23"/>
          <w:lang w:val="ro-RO" w:eastAsia="ro-RO"/>
        </w:rPr>
      </w:pPr>
      <w:r w:rsidRPr="007C266E">
        <w:rPr>
          <w:rFonts w:ascii="Times New Roman" w:eastAsia="Times New Roman" w:hAnsi="Times New Roman" w:cs="Times New Roman"/>
          <w:sz w:val="23"/>
          <w:szCs w:val="23"/>
          <w:lang w:val="ro-RO" w:eastAsia="ro-RO"/>
        </w:rPr>
        <w:t xml:space="preserve">Pentru perioada 2020-2025, S.N.G.N. Romgaz S.A. previzionează un program de investiţii de cca. 15,69 miliarde lei, iar pentru perioada 2026-2030 Romgaz îşi propune alocarea unui </w:t>
      </w:r>
      <w:r w:rsidRPr="007C266E">
        <w:rPr>
          <w:rFonts w:ascii="Times New Roman" w:eastAsia="Times New Roman" w:hAnsi="Times New Roman" w:cs="Times New Roman"/>
          <w:sz w:val="23"/>
          <w:szCs w:val="23"/>
          <w:lang w:val="ro-RO" w:eastAsia="ro-RO"/>
        </w:rPr>
        <w:lastRenderedPageBreak/>
        <w:t>buget anual de investiţii de cca. 2.000 milioane lei, orientat, în principal, către:</w:t>
      </w:r>
    </w:p>
    <w:p w14:paraId="1C52BE89" w14:textId="77777777" w:rsidR="00280D40" w:rsidRDefault="00280D40" w:rsidP="009E5804">
      <w:pPr>
        <w:tabs>
          <w:tab w:val="left" w:pos="6132"/>
        </w:tabs>
        <w:spacing w:after="0" w:line="240" w:lineRule="auto"/>
        <w:contextualSpacing/>
        <w:jc w:val="both"/>
        <w:rPr>
          <w:rFonts w:ascii="Times New Roman" w:eastAsia="Times New Roman" w:hAnsi="Times New Roman" w:cs="Times New Roman"/>
          <w:sz w:val="23"/>
          <w:szCs w:val="23"/>
          <w:lang w:val="ro-RO" w:eastAsia="ro-RO"/>
        </w:rPr>
      </w:pPr>
    </w:p>
    <w:p w14:paraId="2D646211" w14:textId="77777777" w:rsidR="00280D40" w:rsidRPr="007C266E" w:rsidRDefault="00280D40" w:rsidP="009E5804">
      <w:pPr>
        <w:tabs>
          <w:tab w:val="left" w:pos="6132"/>
        </w:tabs>
        <w:spacing w:after="0" w:line="240" w:lineRule="auto"/>
        <w:contextualSpacing/>
        <w:jc w:val="both"/>
        <w:rPr>
          <w:rFonts w:ascii="Times New Roman" w:eastAsia="Times New Roman" w:hAnsi="Times New Roman" w:cs="Times New Roman"/>
          <w:sz w:val="23"/>
          <w:szCs w:val="23"/>
          <w:lang w:val="ro-RO" w:eastAsia="ro-RO"/>
        </w:rPr>
      </w:pPr>
    </w:p>
    <w:p w14:paraId="271AFF7D" w14:textId="77777777" w:rsidR="002415D8" w:rsidRPr="007C266E" w:rsidRDefault="002415D8" w:rsidP="002500F7">
      <w:pPr>
        <w:pStyle w:val="ListParagraph"/>
        <w:numPr>
          <w:ilvl w:val="0"/>
          <w:numId w:val="13"/>
        </w:numPr>
        <w:tabs>
          <w:tab w:val="left" w:pos="6132"/>
        </w:tabs>
        <w:spacing w:after="0" w:line="240" w:lineRule="auto"/>
        <w:jc w:val="both"/>
        <w:rPr>
          <w:rFonts w:ascii="Times New Roman" w:eastAsia="Times New Roman" w:hAnsi="Times New Roman" w:cs="Times New Roman"/>
          <w:sz w:val="23"/>
          <w:szCs w:val="23"/>
          <w:lang w:val="ro-RO" w:eastAsia="ro-RO"/>
        </w:rPr>
      </w:pPr>
      <w:r w:rsidRPr="007C266E">
        <w:rPr>
          <w:rFonts w:ascii="Times New Roman" w:eastAsia="Times New Roman" w:hAnsi="Times New Roman" w:cs="Times New Roman"/>
          <w:b/>
          <w:sz w:val="23"/>
          <w:szCs w:val="23"/>
          <w:lang w:val="ro-RO" w:eastAsia="ro-RO"/>
        </w:rPr>
        <w:t>Producția de gaze natural</w:t>
      </w:r>
      <w:r w:rsidR="008D5BFF" w:rsidRPr="007C266E">
        <w:rPr>
          <w:rFonts w:ascii="Times New Roman" w:eastAsia="Times New Roman" w:hAnsi="Times New Roman" w:cs="Times New Roman"/>
          <w:b/>
          <w:sz w:val="23"/>
          <w:szCs w:val="23"/>
          <w:lang w:val="ro-RO" w:eastAsia="ro-RO"/>
        </w:rPr>
        <w:t>e</w:t>
      </w:r>
      <w:r w:rsidRPr="007C266E">
        <w:rPr>
          <w:rFonts w:ascii="Times New Roman" w:eastAsia="Times New Roman" w:hAnsi="Times New Roman" w:cs="Times New Roman"/>
          <w:sz w:val="23"/>
          <w:szCs w:val="23"/>
          <w:lang w:val="ro-RO" w:eastAsia="ro-RO"/>
        </w:rPr>
        <w:t>;</w:t>
      </w:r>
    </w:p>
    <w:p w14:paraId="51C81BDA" w14:textId="77777777" w:rsidR="002415D8" w:rsidRPr="007C266E" w:rsidRDefault="002415D8" w:rsidP="002500F7">
      <w:pPr>
        <w:pStyle w:val="ListParagraph"/>
        <w:numPr>
          <w:ilvl w:val="0"/>
          <w:numId w:val="13"/>
        </w:numPr>
        <w:tabs>
          <w:tab w:val="left" w:pos="6132"/>
        </w:tabs>
        <w:spacing w:after="0" w:line="240" w:lineRule="auto"/>
        <w:jc w:val="both"/>
        <w:rPr>
          <w:rFonts w:ascii="Times New Roman" w:eastAsia="Times New Roman" w:hAnsi="Times New Roman" w:cs="Times New Roman"/>
          <w:sz w:val="23"/>
          <w:szCs w:val="23"/>
          <w:lang w:val="ro-RO" w:eastAsia="ro-RO"/>
        </w:rPr>
      </w:pPr>
      <w:r w:rsidRPr="007C266E">
        <w:rPr>
          <w:rFonts w:ascii="Times New Roman" w:eastAsia="Times New Roman" w:hAnsi="Times New Roman" w:cs="Times New Roman"/>
          <w:b/>
          <w:sz w:val="23"/>
          <w:szCs w:val="23"/>
          <w:lang w:val="ro-RO" w:eastAsia="ro-RO"/>
        </w:rPr>
        <w:t>Producţia de energie electrică</w:t>
      </w:r>
      <w:r w:rsidRPr="007C266E">
        <w:rPr>
          <w:rFonts w:ascii="Times New Roman" w:eastAsia="Times New Roman" w:hAnsi="Times New Roman" w:cs="Times New Roman"/>
          <w:sz w:val="23"/>
          <w:szCs w:val="23"/>
          <w:lang w:val="ro-RO" w:eastAsia="ro-RO"/>
        </w:rPr>
        <w:t xml:space="preserve"> prin Centrale Electrice cu Ciclu Combinat cu turbine cu gaze (Iernut şi Mintia), surse regenerabile (energie eoliană, energie solară - fotovoltaice, energie geotermală, biogaz);</w:t>
      </w:r>
    </w:p>
    <w:p w14:paraId="53113290" w14:textId="77777777" w:rsidR="002415D8" w:rsidRPr="007C266E" w:rsidRDefault="002415D8" w:rsidP="002500F7">
      <w:pPr>
        <w:pStyle w:val="ListParagraph"/>
        <w:numPr>
          <w:ilvl w:val="0"/>
          <w:numId w:val="13"/>
        </w:numPr>
        <w:tabs>
          <w:tab w:val="left" w:pos="6132"/>
        </w:tabs>
        <w:spacing w:after="0" w:line="240" w:lineRule="auto"/>
        <w:jc w:val="both"/>
        <w:rPr>
          <w:rFonts w:ascii="Times New Roman" w:eastAsia="Times New Roman" w:hAnsi="Times New Roman" w:cs="Times New Roman"/>
          <w:sz w:val="23"/>
          <w:szCs w:val="23"/>
          <w:lang w:val="ro-RO" w:eastAsia="ro-RO"/>
        </w:rPr>
      </w:pPr>
      <w:r w:rsidRPr="007C266E">
        <w:rPr>
          <w:rFonts w:ascii="Times New Roman" w:eastAsia="Times New Roman" w:hAnsi="Times New Roman" w:cs="Times New Roman"/>
          <w:b/>
          <w:sz w:val="23"/>
          <w:szCs w:val="23"/>
          <w:lang w:val="ro-RO" w:eastAsia="ro-RO"/>
        </w:rPr>
        <w:t xml:space="preserve">Asocieri/parteneriate </w:t>
      </w:r>
      <w:r w:rsidRPr="007C266E">
        <w:rPr>
          <w:rFonts w:ascii="Times New Roman" w:eastAsia="Times New Roman" w:hAnsi="Times New Roman" w:cs="Times New Roman"/>
          <w:sz w:val="23"/>
          <w:szCs w:val="23"/>
          <w:lang w:val="ro-RO" w:eastAsia="ro-RO"/>
        </w:rPr>
        <w:t>în proiecte offshore (Marea Neagră) şi producere-stocare energie electrică</w:t>
      </w:r>
      <w:bookmarkStart w:id="45" w:name="_Toc40254727"/>
    </w:p>
    <w:bookmarkEnd w:id="45"/>
    <w:p w14:paraId="55CD9800" w14:textId="77777777" w:rsidR="002415D8" w:rsidRPr="007C266E" w:rsidRDefault="002415D8" w:rsidP="009E5804">
      <w:pPr>
        <w:spacing w:after="0" w:line="240" w:lineRule="auto"/>
        <w:jc w:val="both"/>
        <w:rPr>
          <w:rFonts w:ascii="Times New Roman" w:hAnsi="Times New Roman" w:cs="Times New Roman"/>
          <w:sz w:val="23"/>
          <w:szCs w:val="23"/>
          <w:highlight w:val="yellow"/>
          <w:shd w:val="clear" w:color="auto" w:fill="FFFFFF"/>
          <w:lang w:val="ro-RO"/>
        </w:rPr>
      </w:pPr>
    </w:p>
    <w:p w14:paraId="4B4D2219" w14:textId="77777777" w:rsidR="002415D8" w:rsidRPr="007C266E" w:rsidRDefault="002415D8"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Societatea a înregistrat în anul 2019 un profit net de </w:t>
      </w:r>
      <w:r w:rsidRPr="007C266E">
        <w:rPr>
          <w:rFonts w:ascii="Times New Roman" w:eastAsia="Times New Roman" w:hAnsi="Times New Roman" w:cs="Times New Roman"/>
          <w:sz w:val="23"/>
          <w:szCs w:val="23"/>
          <w:lang w:val="ro-RO" w:eastAsia="ro-RO"/>
        </w:rPr>
        <w:t xml:space="preserve">1.089,6 </w:t>
      </w:r>
      <w:r w:rsidRPr="007C266E">
        <w:rPr>
          <w:rFonts w:ascii="Times New Roman" w:hAnsi="Times New Roman" w:cs="Times New Roman"/>
          <w:sz w:val="23"/>
          <w:szCs w:val="23"/>
          <w:lang w:val="ro-RO"/>
        </w:rPr>
        <w:t>mil. lei.</w:t>
      </w:r>
    </w:p>
    <w:p w14:paraId="579C0BF5" w14:textId="77777777" w:rsidR="008516B4" w:rsidRPr="007C266E" w:rsidRDefault="008516B4" w:rsidP="009E5804">
      <w:pPr>
        <w:spacing w:after="0" w:line="240" w:lineRule="auto"/>
        <w:jc w:val="both"/>
        <w:rPr>
          <w:rFonts w:ascii="Times New Roman" w:hAnsi="Times New Roman" w:cs="Times New Roman"/>
          <w:sz w:val="23"/>
          <w:szCs w:val="23"/>
          <w:lang w:val="ro-RO"/>
        </w:rPr>
      </w:pPr>
    </w:p>
    <w:p w14:paraId="188388CD" w14:textId="77777777" w:rsidR="002415D8" w:rsidRPr="007C266E" w:rsidRDefault="002415D8" w:rsidP="009E5804">
      <w:pPr>
        <w:spacing w:after="0" w:line="240" w:lineRule="auto"/>
        <w:jc w:val="both"/>
        <w:rPr>
          <w:rFonts w:ascii="Times New Roman" w:hAnsi="Times New Roman" w:cs="Times New Roman"/>
          <w:sz w:val="23"/>
          <w:szCs w:val="23"/>
          <w:lang w:val="ro-RO"/>
        </w:rPr>
      </w:pPr>
    </w:p>
    <w:p w14:paraId="0923EF4D" w14:textId="77777777" w:rsidR="008516B4" w:rsidRPr="007C266E" w:rsidRDefault="00C04B59" w:rsidP="00280D40">
      <w:pPr>
        <w:spacing w:after="0" w:line="240" w:lineRule="auto"/>
        <w:rPr>
          <w:rFonts w:ascii="Times New Roman" w:hAnsi="Times New Roman" w:cs="Times New Roman"/>
          <w:b/>
          <w:sz w:val="23"/>
          <w:szCs w:val="23"/>
          <w:lang w:val="ro-RO"/>
        </w:rPr>
      </w:pPr>
      <w:r w:rsidRPr="007C266E">
        <w:rPr>
          <w:rFonts w:ascii="Times New Roman" w:hAnsi="Times New Roman" w:cs="Times New Roman"/>
          <w:b/>
          <w:sz w:val="23"/>
          <w:szCs w:val="23"/>
          <w:lang w:val="ro-RO"/>
        </w:rPr>
        <w:t>SOCIETATEA COMPLEXUL ENERGETIC OLTENIA SA</w:t>
      </w:r>
    </w:p>
    <w:p w14:paraId="42A013BF" w14:textId="77777777" w:rsidR="008516B4" w:rsidRPr="007C266E" w:rsidRDefault="008516B4" w:rsidP="009E5804">
      <w:pPr>
        <w:spacing w:after="0" w:line="240" w:lineRule="auto"/>
        <w:jc w:val="both"/>
        <w:rPr>
          <w:rFonts w:ascii="Times New Roman" w:hAnsi="Times New Roman" w:cs="Times New Roman"/>
          <w:b/>
          <w:sz w:val="23"/>
          <w:szCs w:val="23"/>
          <w:lang w:val="ro-RO"/>
        </w:rPr>
      </w:pPr>
    </w:p>
    <w:p w14:paraId="122257C3" w14:textId="77777777" w:rsidR="00A05AD9" w:rsidRPr="007C266E" w:rsidRDefault="00A05AD9" w:rsidP="009E5804">
      <w:pPr>
        <w:spacing w:after="0" w:line="240" w:lineRule="auto"/>
        <w:jc w:val="both"/>
        <w:rPr>
          <w:rFonts w:ascii="Times New Roman" w:hAnsi="Times New Roman" w:cs="Times New Roman"/>
          <w:sz w:val="23"/>
          <w:szCs w:val="23"/>
          <w:shd w:val="clear" w:color="auto" w:fill="FFFFFF"/>
          <w:lang w:val="ro-RO"/>
        </w:rPr>
      </w:pPr>
      <w:r w:rsidRPr="007C266E">
        <w:rPr>
          <w:rFonts w:ascii="Times New Roman" w:hAnsi="Times New Roman" w:cs="Times New Roman"/>
          <w:sz w:val="23"/>
          <w:szCs w:val="23"/>
          <w:shd w:val="clear" w:color="auto" w:fill="FFFFFF"/>
          <w:lang w:val="ro-RO"/>
        </w:rPr>
        <w:t>Complexul Energetic Oltenia produce energie electrică și termică pe bază de lignit. De asemenea, în obiectul de activitate al societății intră extracția și  prepararea lignitului.</w:t>
      </w:r>
    </w:p>
    <w:p w14:paraId="4A8D915B" w14:textId="77777777" w:rsidR="00061416" w:rsidRPr="007C266E" w:rsidRDefault="00061416" w:rsidP="009E5804">
      <w:pPr>
        <w:spacing w:after="0" w:line="240" w:lineRule="auto"/>
        <w:jc w:val="both"/>
        <w:rPr>
          <w:rFonts w:ascii="Times New Roman" w:hAnsi="Times New Roman" w:cs="Times New Roman"/>
          <w:sz w:val="23"/>
          <w:szCs w:val="23"/>
          <w:shd w:val="clear" w:color="auto" w:fill="FFFFFF"/>
          <w:lang w:val="ro-RO"/>
        </w:rPr>
      </w:pPr>
    </w:p>
    <w:p w14:paraId="340E2EC5" w14:textId="77777777" w:rsidR="00061416" w:rsidRPr="007C266E" w:rsidRDefault="00061416"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Statul român, prin </w:t>
      </w:r>
      <w:r w:rsidR="00E00836" w:rsidRPr="007C266E">
        <w:rPr>
          <w:rFonts w:ascii="Times New Roman" w:hAnsi="Times New Roman" w:cs="Times New Roman"/>
          <w:sz w:val="23"/>
          <w:szCs w:val="23"/>
          <w:lang w:val="ro-RO"/>
        </w:rPr>
        <w:t>Ministerul Economiei, Energiei și Mediului de Afaceri</w:t>
      </w:r>
      <w:r w:rsidRPr="007C266E">
        <w:rPr>
          <w:rFonts w:ascii="Times New Roman" w:hAnsi="Times New Roman" w:cs="Times New Roman"/>
          <w:sz w:val="23"/>
          <w:szCs w:val="23"/>
          <w:lang w:val="ro-RO"/>
        </w:rPr>
        <w:t>, deține 77,15% din capitalul social al Complexului Energetic Oltenia</w:t>
      </w:r>
      <w:r w:rsidR="00680524" w:rsidRPr="007C266E">
        <w:rPr>
          <w:rFonts w:ascii="Times New Roman" w:hAnsi="Times New Roman" w:cs="Times New Roman"/>
          <w:sz w:val="23"/>
          <w:szCs w:val="23"/>
          <w:lang w:val="ro-RO"/>
        </w:rPr>
        <w:t>.  Fondul Proprietatea deține 21,56%, Electrocentrale Grup SA 0.84% iar Societatea de închidere și Conservare Mine 0.44%.</w:t>
      </w:r>
    </w:p>
    <w:p w14:paraId="1F2505D3" w14:textId="77777777" w:rsidR="00006C18" w:rsidRPr="007C266E" w:rsidRDefault="00006C18" w:rsidP="009E5804">
      <w:pPr>
        <w:spacing w:after="0" w:line="240" w:lineRule="auto"/>
        <w:jc w:val="both"/>
        <w:rPr>
          <w:rFonts w:ascii="Times New Roman" w:hAnsi="Times New Roman" w:cs="Times New Roman"/>
          <w:sz w:val="23"/>
          <w:szCs w:val="23"/>
          <w:shd w:val="clear" w:color="auto" w:fill="FFFFFF"/>
          <w:lang w:val="ro-RO"/>
        </w:rPr>
      </w:pPr>
    </w:p>
    <w:p w14:paraId="6A5D235A" w14:textId="77777777" w:rsidR="001D5339" w:rsidRPr="007C266E" w:rsidRDefault="001D5339"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anul 2019, Complexul Energetic Oltenia a produs 13 TWh energie. În procente, aceasta reprezintă 23% din produ</w:t>
      </w:r>
      <w:r w:rsidR="00A05AD9" w:rsidRPr="007C266E">
        <w:rPr>
          <w:rFonts w:ascii="Times New Roman" w:hAnsi="Times New Roman" w:cs="Times New Roman"/>
          <w:sz w:val="23"/>
          <w:szCs w:val="23"/>
          <w:lang w:val="ro-RO"/>
        </w:rPr>
        <w:t>cţia totală de energie a ţării.</w:t>
      </w:r>
    </w:p>
    <w:p w14:paraId="12221A46" w14:textId="77777777" w:rsidR="001D5339" w:rsidRPr="007C266E" w:rsidRDefault="001D5339" w:rsidP="009E5804">
      <w:pPr>
        <w:spacing w:after="0" w:line="240" w:lineRule="auto"/>
        <w:contextualSpacing/>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contextul politicilor europene actuale de decarbonare, care au drept rezultat utilizarea din ce în ce mai redusă a combustibililor fosili și mai ales, a cărbunelui, CE Oltenia are în vedere implementarea unui </w:t>
      </w:r>
      <w:r w:rsidRPr="007C266E">
        <w:rPr>
          <w:rFonts w:ascii="Times New Roman" w:hAnsi="Times New Roman" w:cs="Times New Roman"/>
          <w:b/>
          <w:bCs/>
          <w:i/>
          <w:iCs/>
          <w:sz w:val="23"/>
          <w:szCs w:val="23"/>
          <w:lang w:val="ro-RO"/>
        </w:rPr>
        <w:t>Plan de dezvoltare și decarbonare</w:t>
      </w:r>
      <w:r w:rsidRPr="007C266E">
        <w:rPr>
          <w:rFonts w:ascii="Times New Roman" w:hAnsi="Times New Roman" w:cs="Times New Roman"/>
          <w:sz w:val="23"/>
          <w:szCs w:val="23"/>
          <w:lang w:val="ro-RO"/>
        </w:rPr>
        <w:t xml:space="preserve"> care să îi permită o tranziție cât mai realistă și sustenabilă către o producție de energie electrică eficientă și cu emisii cât mai reduse de carbon. Mai mult, </w:t>
      </w:r>
      <w:r w:rsidRPr="007C266E">
        <w:rPr>
          <w:rFonts w:ascii="Times New Roman" w:hAnsi="Times New Roman" w:cs="Times New Roman"/>
          <w:sz w:val="23"/>
          <w:szCs w:val="23"/>
          <w:lang w:val="ro-RO"/>
        </w:rPr>
        <w:lastRenderedPageBreak/>
        <w:t>implementarea acestui plan va avea rolul de a întări rolul CE Oltenia de furnizor de securitate energetică pe piața locală și regională. Implementarea acestuia se va face în perioada 2021-2026 și presupune diversificarea mixului energetic prin introducerea energiei solare și a celei bazate pe gaze naturale în portofoliul companiei, concomitent cu retragerea din exploatare a capacităților energetice pe bază de cărbune. Capacitatea nou instalată va fi de cca. 1.700 MW și va produce majoritatea producției viitoare a CE Oltenia. Programul de investiții va cuprinde implementarea de proiecte de parcuri fotovoltaice cu o putere instalată totală de circa 300 MW, construcția/modernizarea a două microhidrocentrale de 10 MW la SE Turceni și 2 MW la SE Isalnița, construcția unui bloc nou în cogenerare de minim 200 MW pe gaz natural la SE Craiova care va înlocui capacitățile actuale de 2x150 MW pe lignit, construcția unui bloc de 400 MW pe gaz natural la SE Turceni care va înlocui o capacitate existentă de 330 MW pe lignit și construcția a 2 blocuri de 400 MW pe gaz natural la SE Ișalnița care vor înlocui grupul nr. 8 de 330 MW pe lignit și grupul nr. 7 de 330 MW pe lignit.</w:t>
      </w:r>
    </w:p>
    <w:p w14:paraId="4156BC75" w14:textId="77777777" w:rsidR="001D5339" w:rsidRPr="007C266E" w:rsidRDefault="001D5339" w:rsidP="004B4A53">
      <w:pPr>
        <w:tabs>
          <w:tab w:val="left" w:pos="1134"/>
        </w:tabs>
        <w:spacing w:line="240" w:lineRule="auto"/>
        <w:ind w:left="270" w:hanging="270"/>
        <w:contextualSpacing/>
        <w:jc w:val="both"/>
        <w:rPr>
          <w:rFonts w:ascii="Times New Roman" w:eastAsia="Times New Roman" w:hAnsi="Times New Roman" w:cs="Times New Roman"/>
          <w:sz w:val="23"/>
          <w:szCs w:val="23"/>
          <w:lang w:val="ro-RO"/>
        </w:rPr>
      </w:pPr>
    </w:p>
    <w:p w14:paraId="3788A3DB" w14:textId="3D54E669" w:rsidR="001D5339" w:rsidRPr="007C266E" w:rsidRDefault="001D5339" w:rsidP="006E1D2D">
      <w:pPr>
        <w:spacing w:after="0" w:line="240" w:lineRule="auto"/>
        <w:contextualSpacing/>
        <w:jc w:val="both"/>
        <w:rPr>
          <w:rFonts w:ascii="Times New Roman" w:eastAsia="Times New Roman" w:hAnsi="Times New Roman" w:cs="Times New Roman"/>
          <w:sz w:val="23"/>
          <w:szCs w:val="23"/>
          <w:lang w:val="ro-RO"/>
        </w:rPr>
      </w:pPr>
      <w:r w:rsidRPr="007C266E">
        <w:rPr>
          <w:rFonts w:ascii="Times New Roman" w:hAnsi="Times New Roman" w:cs="Times New Roman"/>
          <w:sz w:val="23"/>
          <w:szCs w:val="23"/>
          <w:shd w:val="clear" w:color="auto" w:fill="FFFFFF"/>
          <w:lang w:val="ro-RO"/>
        </w:rPr>
        <w:t>F</w:t>
      </w:r>
      <w:r w:rsidRPr="007C266E">
        <w:rPr>
          <w:rFonts w:ascii="Times New Roman" w:hAnsi="Times New Roman" w:cs="Times New Roman"/>
          <w:sz w:val="23"/>
          <w:szCs w:val="23"/>
          <w:lang w:val="ro-RO"/>
        </w:rPr>
        <w:t xml:space="preserve">inanțarea acestor investiții se va realiza </w:t>
      </w:r>
      <w:r w:rsidR="00F01DAE" w:rsidRPr="007C266E">
        <w:rPr>
          <w:rFonts w:ascii="Times New Roman" w:hAnsi="Times New Roman" w:cs="Times New Roman"/>
          <w:sz w:val="23"/>
          <w:szCs w:val="23"/>
          <w:lang w:val="ro-RO"/>
        </w:rPr>
        <w:t xml:space="preserve">și </w:t>
      </w:r>
      <w:r w:rsidRPr="007C266E">
        <w:rPr>
          <w:rFonts w:ascii="Times New Roman" w:hAnsi="Times New Roman" w:cs="Times New Roman"/>
          <w:sz w:val="23"/>
          <w:szCs w:val="23"/>
          <w:lang w:val="ro-RO"/>
        </w:rPr>
        <w:t>din Fondul de Modernizare prevăzut de către Articolul 10d al Directivei 2018/410/UE de modificare a Directivei 2003/87/CE –EU-ETS.</w:t>
      </w:r>
    </w:p>
    <w:p w14:paraId="1002C9C0" w14:textId="77777777" w:rsidR="001D5339" w:rsidRPr="007C266E" w:rsidRDefault="001D5339" w:rsidP="0038022C">
      <w:pPr>
        <w:spacing w:after="0" w:line="240" w:lineRule="auto"/>
        <w:contextualSpacing/>
        <w:jc w:val="both"/>
        <w:rPr>
          <w:rFonts w:ascii="Times New Roman" w:eastAsia="Times New Roman" w:hAnsi="Times New Roman" w:cs="Times New Roman"/>
          <w:sz w:val="23"/>
          <w:szCs w:val="23"/>
          <w:lang w:val="ro-RO"/>
        </w:rPr>
      </w:pPr>
    </w:p>
    <w:p w14:paraId="56027F46" w14:textId="77777777" w:rsidR="001D5339" w:rsidRPr="007C266E" w:rsidRDefault="001D5339" w:rsidP="00A86877">
      <w:pPr>
        <w:spacing w:after="0" w:line="240" w:lineRule="auto"/>
        <w:contextualSpacing/>
        <w:jc w:val="both"/>
        <w:rPr>
          <w:rFonts w:ascii="Times New Roman" w:eastAsia="Times New Roman" w:hAnsi="Times New Roman" w:cs="Times New Roman"/>
          <w:sz w:val="23"/>
          <w:szCs w:val="23"/>
          <w:lang w:val="ro-RO"/>
        </w:rPr>
      </w:pPr>
      <w:r w:rsidRPr="007C266E">
        <w:rPr>
          <w:rFonts w:ascii="Times New Roman" w:hAnsi="Times New Roman" w:cs="Times New Roman"/>
          <w:sz w:val="23"/>
          <w:szCs w:val="23"/>
          <w:lang w:val="ro-RO"/>
        </w:rPr>
        <w:t>Valoarea totală a investițiilor</w:t>
      </w:r>
      <w:r w:rsidRPr="007C266E">
        <w:rPr>
          <w:rFonts w:ascii="Times New Roman" w:eastAsia="Times New Roman" w:hAnsi="Times New Roman" w:cs="Times New Roman"/>
          <w:sz w:val="23"/>
          <w:szCs w:val="23"/>
          <w:vertAlign w:val="superscript"/>
          <w:lang w:val="ro-RO"/>
        </w:rPr>
        <w:footnoteReference w:id="1"/>
      </w:r>
      <w:r w:rsidRPr="007C266E">
        <w:rPr>
          <w:rFonts w:ascii="Times New Roman" w:hAnsi="Times New Roman" w:cs="Times New Roman"/>
          <w:sz w:val="23"/>
          <w:szCs w:val="23"/>
          <w:lang w:val="ro-RO"/>
        </w:rPr>
        <w:t xml:space="preserve"> este de cca. 7 mld. lei, din care în investiții prioritare 1.5 mld. lei și investiții non-prioritare cca. 5 mld. lei. Pentru investițiile non-prioritare partea de finanțare de 30% va fi realizată prin contribuția proprie a CE Oltenia.</w:t>
      </w:r>
    </w:p>
    <w:p w14:paraId="38D986EF" w14:textId="77777777" w:rsidR="001D5339" w:rsidRPr="007C266E" w:rsidRDefault="001D5339" w:rsidP="00A86877">
      <w:pPr>
        <w:spacing w:after="0" w:line="240" w:lineRule="auto"/>
        <w:contextualSpacing/>
        <w:jc w:val="both"/>
        <w:rPr>
          <w:rFonts w:ascii="Times New Roman" w:eastAsia="Times New Roman" w:hAnsi="Times New Roman" w:cs="Times New Roman"/>
          <w:sz w:val="23"/>
          <w:szCs w:val="23"/>
          <w:lang w:val="ro-RO"/>
        </w:rPr>
      </w:pPr>
    </w:p>
    <w:p w14:paraId="0C1A44E3" w14:textId="77777777" w:rsidR="001D5339" w:rsidRDefault="001D5339" w:rsidP="00A86877">
      <w:pPr>
        <w:spacing w:after="0" w:line="240" w:lineRule="auto"/>
        <w:contextualSpacing/>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Prin realizarea acestor investiții emisia specifică de CO2 va scădea de la circa 0.84 tCO2/MWh produs în 2020 la 0.58 </w:t>
      </w:r>
      <w:r w:rsidRPr="007C266E">
        <w:rPr>
          <w:rFonts w:ascii="Times New Roman" w:hAnsi="Times New Roman" w:cs="Times New Roman"/>
          <w:sz w:val="23"/>
          <w:szCs w:val="23"/>
          <w:lang w:val="ro-RO"/>
        </w:rPr>
        <w:lastRenderedPageBreak/>
        <w:t>tCO2/MWh începând cu 2026, adică o scădere cu circa 30%.</w:t>
      </w:r>
    </w:p>
    <w:p w14:paraId="7F12E6E9" w14:textId="77777777" w:rsidR="00280D40" w:rsidRDefault="00280D40" w:rsidP="00A86877">
      <w:pPr>
        <w:spacing w:after="0" w:line="240" w:lineRule="auto"/>
        <w:contextualSpacing/>
        <w:jc w:val="both"/>
        <w:rPr>
          <w:rFonts w:ascii="Times New Roman" w:hAnsi="Times New Roman" w:cs="Times New Roman"/>
          <w:sz w:val="23"/>
          <w:szCs w:val="23"/>
          <w:lang w:val="ro-RO"/>
        </w:rPr>
      </w:pPr>
    </w:p>
    <w:p w14:paraId="0A327938" w14:textId="77777777" w:rsidR="00C04B59" w:rsidRPr="007C266E" w:rsidRDefault="00C04B59"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SNTGN TRANSGAZ SA</w:t>
      </w:r>
    </w:p>
    <w:p w14:paraId="4D611164" w14:textId="77777777" w:rsidR="00546777" w:rsidRPr="007C266E" w:rsidRDefault="00546777" w:rsidP="009E5804">
      <w:pPr>
        <w:spacing w:after="0" w:line="240" w:lineRule="auto"/>
        <w:jc w:val="both"/>
        <w:rPr>
          <w:rFonts w:ascii="Times New Roman" w:hAnsi="Times New Roman" w:cs="Times New Roman"/>
          <w:b/>
          <w:sz w:val="23"/>
          <w:szCs w:val="23"/>
          <w:lang w:val="ro-RO"/>
        </w:rPr>
      </w:pPr>
    </w:p>
    <w:p w14:paraId="1FE4FE13" w14:textId="77777777" w:rsidR="00546777" w:rsidRPr="007C266E" w:rsidRDefault="001A75E3" w:rsidP="009E5804">
      <w:pPr>
        <w:spacing w:after="0" w:line="240" w:lineRule="auto"/>
        <w:jc w:val="both"/>
        <w:rPr>
          <w:rFonts w:ascii="Times New Roman" w:hAnsi="Times New Roman" w:cs="Times New Roman"/>
          <w:sz w:val="23"/>
          <w:szCs w:val="23"/>
          <w:shd w:val="clear" w:color="auto" w:fill="FFFFFF"/>
          <w:lang w:val="ro-RO"/>
        </w:rPr>
      </w:pPr>
      <w:r w:rsidRPr="007C266E">
        <w:rPr>
          <w:rFonts w:ascii="Times New Roman" w:hAnsi="Times New Roman" w:cs="Times New Roman"/>
          <w:sz w:val="23"/>
          <w:szCs w:val="23"/>
          <w:shd w:val="clear" w:color="auto" w:fill="FFFFFF"/>
          <w:lang w:val="ro-RO"/>
        </w:rPr>
        <w:t>TRANSGAZ este operatorul tehnic al Sistemului Naţional de Transport al gazelor naturale şi asigură îndeplinirea în condiţii de eficienţă, transparenţă, siguranţă, acces nediscriminatoriu şi competitivitate a strategiei naţionale stabilite pentru transportul intern şi internaţional, dispecerizarea gazelor naturale, cercetarea şi proiectarea în domeniul transportului de gaze naturale, cu respectarea legislaţiei şi a standardelor naţionale şi europene de calitate, performanţă, mediu şi dezvoltare durabilă.</w:t>
      </w:r>
    </w:p>
    <w:p w14:paraId="2EF3E317" w14:textId="77777777" w:rsidR="001A75E3" w:rsidRPr="007C266E" w:rsidRDefault="001A75E3" w:rsidP="009E5804">
      <w:pPr>
        <w:spacing w:after="0" w:line="240" w:lineRule="auto"/>
        <w:jc w:val="both"/>
        <w:rPr>
          <w:rFonts w:ascii="Times New Roman" w:hAnsi="Times New Roman" w:cs="Times New Roman"/>
          <w:sz w:val="23"/>
          <w:szCs w:val="23"/>
          <w:shd w:val="clear" w:color="auto" w:fill="FFFFFF"/>
          <w:lang w:val="ro-RO"/>
        </w:rPr>
      </w:pPr>
    </w:p>
    <w:p w14:paraId="5D5BA812" w14:textId="77777777" w:rsidR="0037479D" w:rsidRPr="007C266E" w:rsidRDefault="0037479D" w:rsidP="009E5804">
      <w:pPr>
        <w:spacing w:after="0" w:line="240" w:lineRule="auto"/>
        <w:jc w:val="both"/>
        <w:rPr>
          <w:rFonts w:ascii="Times New Roman" w:hAnsi="Times New Roman" w:cs="Times New Roman"/>
          <w:sz w:val="23"/>
          <w:szCs w:val="23"/>
          <w:shd w:val="clear" w:color="auto" w:fill="FFFFFF"/>
          <w:lang w:val="ro-RO"/>
        </w:rPr>
      </w:pPr>
      <w:r w:rsidRPr="007C266E">
        <w:rPr>
          <w:rFonts w:ascii="Times New Roman" w:hAnsi="Times New Roman" w:cs="Times New Roman"/>
          <w:sz w:val="23"/>
          <w:szCs w:val="23"/>
          <w:shd w:val="clear" w:color="auto" w:fill="FFFFFF"/>
          <w:lang w:val="ro-RO"/>
        </w:rPr>
        <w:t xml:space="preserve">Compania este listată la Bursa de Valori din București. Statul deține, prin Secretariatul General al Guvernului, 58,5% din acțiuni, restul fiind proprietatea altor persoane juridice sau fizice. </w:t>
      </w:r>
    </w:p>
    <w:p w14:paraId="204B95A7" w14:textId="77777777" w:rsidR="00D0688A" w:rsidRPr="007C266E" w:rsidRDefault="00D0688A" w:rsidP="009E5804">
      <w:pPr>
        <w:spacing w:after="0" w:line="240" w:lineRule="auto"/>
        <w:jc w:val="both"/>
        <w:rPr>
          <w:rFonts w:ascii="Times New Roman" w:hAnsi="Times New Roman" w:cs="Times New Roman"/>
          <w:sz w:val="23"/>
          <w:szCs w:val="23"/>
          <w:shd w:val="clear" w:color="auto" w:fill="FFFFFF"/>
          <w:lang w:val="ro-RO"/>
        </w:rPr>
      </w:pPr>
    </w:p>
    <w:p w14:paraId="0EB8FCB7" w14:textId="77777777" w:rsidR="0037479D" w:rsidRPr="007C266E" w:rsidRDefault="0037479D"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sz w:val="23"/>
          <w:szCs w:val="23"/>
          <w:shd w:val="clear" w:color="auto" w:fill="FFFFFF"/>
          <w:lang w:val="ro-RO"/>
        </w:rPr>
        <w:t>În 2019, cifra de afaceri a TRANSGAZ a fost de peste 1,8 miliarde lei, iar profitul net a depășit suma de 348 milioane lei.</w:t>
      </w:r>
    </w:p>
    <w:p w14:paraId="69C3B22C" w14:textId="77777777" w:rsidR="00D0688A" w:rsidRPr="007C266E" w:rsidRDefault="001A75E3" w:rsidP="009E5804">
      <w:pPr>
        <w:spacing w:after="0" w:line="240" w:lineRule="auto"/>
        <w:jc w:val="both"/>
        <w:rPr>
          <w:rFonts w:ascii="Times New Roman" w:hAnsi="Times New Roman" w:cs="Times New Roman"/>
          <w:sz w:val="23"/>
          <w:szCs w:val="23"/>
          <w:shd w:val="clear" w:color="auto" w:fill="FFFFFF"/>
          <w:lang w:val="ro-RO"/>
        </w:rPr>
      </w:pPr>
      <w:r w:rsidRPr="007C266E">
        <w:rPr>
          <w:rFonts w:ascii="Times New Roman" w:hAnsi="Times New Roman" w:cs="Times New Roman"/>
          <w:sz w:val="23"/>
          <w:szCs w:val="23"/>
          <w:shd w:val="clear" w:color="auto" w:fill="FFFFFF"/>
          <w:lang w:val="ro-RO"/>
        </w:rPr>
        <w:t>Conform Planului de Dezvoltare a Sistemului Naţional de Transport gaze naturale în perioada 2017–2026, TRANSGAZ și-a stabilit o serie de obiective de investiții</w:t>
      </w:r>
      <w:r w:rsidR="00D0688A" w:rsidRPr="007C266E">
        <w:rPr>
          <w:rFonts w:ascii="Times New Roman" w:hAnsi="Times New Roman" w:cs="Times New Roman"/>
          <w:sz w:val="23"/>
          <w:szCs w:val="23"/>
          <w:shd w:val="clear" w:color="auto" w:fill="FFFFFF"/>
          <w:lang w:val="ro-RO"/>
        </w:rPr>
        <w:t xml:space="preserve"> care</w:t>
      </w:r>
      <w:r w:rsidRPr="007C266E">
        <w:rPr>
          <w:rFonts w:ascii="Times New Roman" w:hAnsi="Times New Roman" w:cs="Times New Roman"/>
          <w:sz w:val="23"/>
          <w:szCs w:val="23"/>
          <w:shd w:val="clear" w:color="auto" w:fill="FFFFFF"/>
          <w:lang w:val="ro-RO"/>
        </w:rPr>
        <w:t xml:space="preserve"> vor avea ca rezultat asigurarea unui grad adecvat de interconectivitate cu țările vecine, crearea unor rute de transport gaze naturale la nivel regional pentru transportul gazelor naturale provenite din div</w:t>
      </w:r>
      <w:r w:rsidR="00D0688A" w:rsidRPr="007C266E">
        <w:rPr>
          <w:rFonts w:ascii="Times New Roman" w:hAnsi="Times New Roman" w:cs="Times New Roman"/>
          <w:sz w:val="23"/>
          <w:szCs w:val="23"/>
          <w:shd w:val="clear" w:color="auto" w:fill="FFFFFF"/>
          <w:lang w:val="ro-RO"/>
        </w:rPr>
        <w:t>erse noi surse de aprovizionare. De asemenea, compania investește în infrastructura necesară</w:t>
      </w:r>
      <w:r w:rsidRPr="007C266E">
        <w:rPr>
          <w:rFonts w:ascii="Times New Roman" w:hAnsi="Times New Roman" w:cs="Times New Roman"/>
          <w:sz w:val="23"/>
          <w:szCs w:val="23"/>
          <w:shd w:val="clear" w:color="auto" w:fill="FFFFFF"/>
          <w:lang w:val="ro-RO"/>
        </w:rPr>
        <w:t xml:space="preserve"> preluării și transportului gazelor naturale din perimetrele off-shore din Marea Neagră în scopul valorificării acestora pe piața româneas</w:t>
      </w:r>
      <w:r w:rsidR="00D0688A" w:rsidRPr="007C266E">
        <w:rPr>
          <w:rFonts w:ascii="Times New Roman" w:hAnsi="Times New Roman" w:cs="Times New Roman"/>
          <w:sz w:val="23"/>
          <w:szCs w:val="23"/>
          <w:shd w:val="clear" w:color="auto" w:fill="FFFFFF"/>
          <w:lang w:val="ro-RO"/>
        </w:rPr>
        <w:t>că și pe alte piețe din regiune. TRANSGAZ</w:t>
      </w:r>
      <w:r w:rsidRPr="007C266E">
        <w:rPr>
          <w:rFonts w:ascii="Times New Roman" w:hAnsi="Times New Roman" w:cs="Times New Roman"/>
          <w:sz w:val="23"/>
          <w:szCs w:val="23"/>
          <w:shd w:val="clear" w:color="auto" w:fill="FFFFFF"/>
          <w:lang w:val="ro-RO"/>
        </w:rPr>
        <w:t xml:space="preserve"> extinde</w:t>
      </w:r>
      <w:r w:rsidR="00D0688A" w:rsidRPr="007C266E">
        <w:rPr>
          <w:rFonts w:ascii="Times New Roman" w:hAnsi="Times New Roman" w:cs="Times New Roman"/>
          <w:sz w:val="23"/>
          <w:szCs w:val="23"/>
          <w:shd w:val="clear" w:color="auto" w:fill="FFFFFF"/>
          <w:lang w:val="ro-RO"/>
        </w:rPr>
        <w:t xml:space="preserve"> infrastructura</w:t>
      </w:r>
      <w:r w:rsidRPr="007C266E">
        <w:rPr>
          <w:rFonts w:ascii="Times New Roman" w:hAnsi="Times New Roman" w:cs="Times New Roman"/>
          <w:sz w:val="23"/>
          <w:szCs w:val="23"/>
          <w:shd w:val="clear" w:color="auto" w:fill="FFFFFF"/>
          <w:lang w:val="ro-RO"/>
        </w:rPr>
        <w:t xml:space="preserve"> de transport gaze naturale pentru îmbunătățirea aprovizionării cu gaze </w:t>
      </w:r>
      <w:r w:rsidR="00D0688A" w:rsidRPr="007C266E">
        <w:rPr>
          <w:rFonts w:ascii="Times New Roman" w:hAnsi="Times New Roman" w:cs="Times New Roman"/>
          <w:sz w:val="23"/>
          <w:szCs w:val="23"/>
          <w:shd w:val="clear" w:color="auto" w:fill="FFFFFF"/>
          <w:lang w:val="ro-RO"/>
        </w:rPr>
        <w:t>naturale a u</w:t>
      </w:r>
      <w:r w:rsidR="009C2163" w:rsidRPr="007C266E">
        <w:rPr>
          <w:rFonts w:ascii="Times New Roman" w:hAnsi="Times New Roman" w:cs="Times New Roman"/>
          <w:sz w:val="23"/>
          <w:szCs w:val="23"/>
          <w:shd w:val="clear" w:color="auto" w:fill="FFFFFF"/>
          <w:lang w:val="ro-RO"/>
        </w:rPr>
        <w:t>nor zone deficitare și contribu</w:t>
      </w:r>
      <w:r w:rsidR="00D0688A" w:rsidRPr="007C266E">
        <w:rPr>
          <w:rFonts w:ascii="Times New Roman" w:hAnsi="Times New Roman" w:cs="Times New Roman"/>
          <w:sz w:val="23"/>
          <w:szCs w:val="23"/>
          <w:shd w:val="clear" w:color="auto" w:fill="FFFFFF"/>
          <w:lang w:val="ro-RO"/>
        </w:rPr>
        <w:t>ie la</w:t>
      </w:r>
      <w:r w:rsidRPr="007C266E">
        <w:rPr>
          <w:rFonts w:ascii="Times New Roman" w:hAnsi="Times New Roman" w:cs="Times New Roman"/>
          <w:sz w:val="23"/>
          <w:szCs w:val="23"/>
          <w:shd w:val="clear" w:color="auto" w:fill="FFFFFF"/>
          <w:lang w:val="ro-RO"/>
        </w:rPr>
        <w:t xml:space="preserve"> crearea pieței unice integrate la nivelul Uniunii Europene</w:t>
      </w:r>
      <w:r w:rsidR="00D0688A" w:rsidRPr="007C266E">
        <w:rPr>
          <w:rFonts w:ascii="Times New Roman" w:hAnsi="Times New Roman" w:cs="Times New Roman"/>
          <w:sz w:val="23"/>
          <w:szCs w:val="23"/>
          <w:shd w:val="clear" w:color="auto" w:fill="FFFFFF"/>
          <w:lang w:val="ro-RO"/>
        </w:rPr>
        <w:t>.</w:t>
      </w:r>
    </w:p>
    <w:p w14:paraId="13973CF2" w14:textId="77777777" w:rsidR="00D0688A" w:rsidRDefault="00D0688A" w:rsidP="009E5804">
      <w:pPr>
        <w:spacing w:after="0" w:line="240" w:lineRule="auto"/>
        <w:jc w:val="both"/>
        <w:rPr>
          <w:rFonts w:ascii="Times New Roman" w:hAnsi="Times New Roman" w:cs="Times New Roman"/>
          <w:sz w:val="23"/>
          <w:szCs w:val="23"/>
          <w:shd w:val="clear" w:color="auto" w:fill="FFFFFF"/>
          <w:lang w:val="ro-RO"/>
        </w:rPr>
      </w:pPr>
    </w:p>
    <w:p w14:paraId="6B99F2B7" w14:textId="77777777" w:rsidR="00280D40" w:rsidRDefault="00280D40" w:rsidP="009E5804">
      <w:pPr>
        <w:spacing w:after="0" w:line="240" w:lineRule="auto"/>
        <w:jc w:val="both"/>
        <w:rPr>
          <w:rFonts w:ascii="Times New Roman" w:hAnsi="Times New Roman" w:cs="Times New Roman"/>
          <w:sz w:val="23"/>
          <w:szCs w:val="23"/>
          <w:shd w:val="clear" w:color="auto" w:fill="FFFFFF"/>
          <w:lang w:val="ro-RO"/>
        </w:rPr>
      </w:pPr>
    </w:p>
    <w:p w14:paraId="75A92FFD" w14:textId="77777777" w:rsidR="004A1F28" w:rsidRPr="007C266E" w:rsidRDefault="00C55A3C" w:rsidP="009E5804">
      <w:pPr>
        <w:spacing w:after="0" w:line="240" w:lineRule="auto"/>
        <w:jc w:val="both"/>
        <w:rPr>
          <w:rFonts w:ascii="Times New Roman" w:hAnsi="Times New Roman" w:cs="Times New Roman"/>
          <w:b/>
          <w:sz w:val="23"/>
          <w:szCs w:val="23"/>
          <w:shd w:val="clear" w:color="auto" w:fill="FFFFFF"/>
          <w:lang w:val="ro-RO"/>
        </w:rPr>
      </w:pPr>
      <w:r w:rsidRPr="007C266E">
        <w:rPr>
          <w:rFonts w:ascii="Times New Roman" w:hAnsi="Times New Roman" w:cs="Times New Roman"/>
          <w:b/>
          <w:sz w:val="23"/>
          <w:szCs w:val="23"/>
          <w:shd w:val="clear" w:color="auto" w:fill="FFFFFF"/>
          <w:lang w:val="ro-RO"/>
        </w:rPr>
        <w:lastRenderedPageBreak/>
        <w:t>CNTEE TRANSELECTRICA SA</w:t>
      </w:r>
      <w:r w:rsidR="00D0688A" w:rsidRPr="007C266E">
        <w:rPr>
          <w:rFonts w:ascii="Times New Roman" w:hAnsi="Times New Roman" w:cs="Times New Roman"/>
          <w:b/>
          <w:sz w:val="23"/>
          <w:szCs w:val="23"/>
          <w:shd w:val="clear" w:color="auto" w:fill="FFFFFF"/>
          <w:lang w:val="ro-RO"/>
        </w:rPr>
        <w:t xml:space="preserve"> </w:t>
      </w:r>
    </w:p>
    <w:p w14:paraId="76A2F41E" w14:textId="77777777" w:rsidR="00153343" w:rsidRPr="007C266E" w:rsidRDefault="00153343" w:rsidP="009E5804">
      <w:pPr>
        <w:spacing w:after="0" w:line="240" w:lineRule="auto"/>
        <w:jc w:val="both"/>
        <w:rPr>
          <w:rFonts w:ascii="Times New Roman" w:hAnsi="Times New Roman" w:cs="Times New Roman"/>
          <w:sz w:val="23"/>
          <w:szCs w:val="23"/>
          <w:lang w:val="ro-RO"/>
        </w:rPr>
      </w:pPr>
    </w:p>
    <w:p w14:paraId="647C22CD" w14:textId="77777777" w:rsidR="003B1B7E" w:rsidRPr="007C266E" w:rsidRDefault="003B1B7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TRANSELECTRICA are misiunea de a asigura serviciul public de transport al energiei electrice simultan cu menținerea siguranței în funcționare a sistemului energetic național, în condiții nediscriminatorii de acces pentru toți utilizatorii, de a participa activ prin dezvoltarea infrastructurii rețelei electrice de transport la dezvoltarea durabilă a sistemului energetic național și de a sprijini și facilita operarea și integrarea piețelor de energie.</w:t>
      </w:r>
    </w:p>
    <w:p w14:paraId="094FEEB7" w14:textId="77777777" w:rsidR="003B1B7E" w:rsidRPr="007C266E" w:rsidRDefault="003B1B7E" w:rsidP="009E5804">
      <w:pPr>
        <w:spacing w:after="0" w:line="240" w:lineRule="auto"/>
        <w:jc w:val="both"/>
        <w:rPr>
          <w:rFonts w:ascii="Times New Roman" w:hAnsi="Times New Roman" w:cs="Times New Roman"/>
          <w:sz w:val="23"/>
          <w:szCs w:val="23"/>
          <w:lang w:val="ro-RO"/>
        </w:rPr>
      </w:pPr>
    </w:p>
    <w:p w14:paraId="5A858698" w14:textId="77777777" w:rsidR="003B1B7E" w:rsidRPr="007C266E" w:rsidRDefault="003B1B7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Rolul-cheie al TRANSELECTRICA este cel de operator de transport și de sistem (OTS) la care se adaugă rolurile de administrator al pieței de echilibrare, operator de măsurare și operator de alocare al capacităților pe liniile de interconexiune.</w:t>
      </w:r>
    </w:p>
    <w:p w14:paraId="4F896430" w14:textId="77777777" w:rsidR="003B1B7E" w:rsidRPr="007C266E" w:rsidRDefault="003B1B7E" w:rsidP="009E5804">
      <w:pPr>
        <w:spacing w:after="0" w:line="240" w:lineRule="auto"/>
        <w:jc w:val="both"/>
        <w:rPr>
          <w:rFonts w:ascii="Times New Roman" w:hAnsi="Times New Roman" w:cs="Times New Roman"/>
          <w:sz w:val="23"/>
          <w:szCs w:val="23"/>
          <w:lang w:val="ro-RO"/>
        </w:rPr>
      </w:pPr>
    </w:p>
    <w:p w14:paraId="64D55FA6" w14:textId="77777777" w:rsidR="003B1B7E" w:rsidRPr="007C266E" w:rsidRDefault="003B1B7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Compania este listată la Bursa de Valori București. Statul român deține, prin Ministerul Economiei</w:t>
      </w:r>
      <w:r w:rsidR="001B2A38" w:rsidRPr="007C266E">
        <w:rPr>
          <w:rFonts w:ascii="Times New Roman" w:hAnsi="Times New Roman" w:cs="Times New Roman"/>
          <w:sz w:val="23"/>
          <w:szCs w:val="23"/>
          <w:lang w:val="ro-RO"/>
        </w:rPr>
        <w:t>, 59,68% din acțiuni,restul acțiunilor fiind deținute de alte persoane juridice și fizice.</w:t>
      </w:r>
    </w:p>
    <w:p w14:paraId="68C357D1" w14:textId="77777777" w:rsidR="00365015" w:rsidRPr="007C266E" w:rsidRDefault="00365015" w:rsidP="009E5804">
      <w:pPr>
        <w:spacing w:after="0" w:line="240" w:lineRule="auto"/>
        <w:jc w:val="both"/>
        <w:rPr>
          <w:rFonts w:ascii="Times New Roman" w:hAnsi="Times New Roman" w:cs="Times New Roman"/>
          <w:sz w:val="23"/>
          <w:szCs w:val="23"/>
          <w:lang w:val="ro-RO"/>
        </w:rPr>
      </w:pPr>
    </w:p>
    <w:p w14:paraId="290CD813" w14:textId="77777777" w:rsidR="0037479D" w:rsidRPr="007C266E" w:rsidRDefault="0037479D"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Transelectrica are un rol activ în definierea și implementarea codurilor europene de rețea, aprobate ca regulamente ale UE și a pachetului legislativ </w:t>
      </w:r>
      <w:r w:rsidRPr="007C266E">
        <w:rPr>
          <w:rFonts w:ascii="Times New Roman" w:hAnsi="Times New Roman" w:cs="Times New Roman"/>
          <w:i/>
          <w:sz w:val="23"/>
          <w:szCs w:val="23"/>
          <w:lang w:val="ro-RO"/>
        </w:rPr>
        <w:t>Energie curată pentru toți cetățenii europeni</w:t>
      </w:r>
      <w:r w:rsidRPr="007C266E">
        <w:rPr>
          <w:rFonts w:ascii="Times New Roman" w:hAnsi="Times New Roman" w:cs="Times New Roman"/>
          <w:sz w:val="23"/>
          <w:szCs w:val="23"/>
          <w:lang w:val="ro-RO"/>
        </w:rPr>
        <w:t>. De asemenea, Transelectrica contribuie la î</w:t>
      </w:r>
      <w:r w:rsidRPr="007C266E">
        <w:rPr>
          <w:rFonts w:ascii="Times New Roman" w:eastAsia="Calibri" w:hAnsi="Times New Roman" w:cs="Times New Roman"/>
          <w:iCs/>
          <w:sz w:val="23"/>
          <w:szCs w:val="23"/>
          <w:lang w:val="ro-RO"/>
        </w:rPr>
        <w:t>ntărirea securității energetice și la consolidarea cooperării atât la nivel organizațional, cât și tehnic, precum și</w:t>
      </w:r>
      <w:r w:rsidRPr="007C266E">
        <w:rPr>
          <w:rFonts w:ascii="Times New Roman" w:hAnsi="Times New Roman" w:cs="Times New Roman"/>
          <w:sz w:val="23"/>
          <w:szCs w:val="23"/>
          <w:lang w:val="ro-RO"/>
        </w:rPr>
        <w:t xml:space="preserve"> la procesul de cuplare a piețelor de energie electrică în vederea realizării obiectivului major al UE, </w:t>
      </w:r>
      <w:r w:rsidRPr="007C266E">
        <w:rPr>
          <w:rFonts w:ascii="Times New Roman" w:hAnsi="Times New Roman" w:cs="Times New Roman"/>
          <w:i/>
          <w:sz w:val="23"/>
          <w:szCs w:val="23"/>
          <w:lang w:val="ro-RO"/>
        </w:rPr>
        <w:t>Piața internă de energie electrică</w:t>
      </w:r>
      <w:r w:rsidRPr="007C266E">
        <w:rPr>
          <w:rFonts w:ascii="Times New Roman" w:hAnsi="Times New Roman" w:cs="Times New Roman"/>
          <w:sz w:val="23"/>
          <w:szCs w:val="23"/>
          <w:lang w:val="ro-RO"/>
        </w:rPr>
        <w:t>.</w:t>
      </w:r>
    </w:p>
    <w:p w14:paraId="01484670" w14:textId="77777777" w:rsidR="00A047AF" w:rsidRPr="007C266E" w:rsidRDefault="00A047AF" w:rsidP="00A047AF">
      <w:pPr>
        <w:autoSpaceDE w:val="0"/>
        <w:autoSpaceDN w:val="0"/>
        <w:adjustRightInd w:val="0"/>
        <w:spacing w:after="0" w:line="240" w:lineRule="auto"/>
        <w:jc w:val="both"/>
        <w:rPr>
          <w:rFonts w:ascii="Times New Roman" w:hAnsi="Times New Roman" w:cs="Times New Roman"/>
          <w:color w:val="000000"/>
          <w:sz w:val="23"/>
          <w:szCs w:val="23"/>
          <w:lang w:val="ro-RO"/>
        </w:rPr>
      </w:pPr>
    </w:p>
    <w:p w14:paraId="18549E44" w14:textId="5508649F" w:rsidR="00A047AF" w:rsidRPr="007C266E" w:rsidRDefault="00A047AF" w:rsidP="00A047AF">
      <w:pPr>
        <w:autoSpaceDE w:val="0"/>
        <w:autoSpaceDN w:val="0"/>
        <w:adjustRightInd w:val="0"/>
        <w:spacing w:after="0" w:line="240" w:lineRule="auto"/>
        <w:jc w:val="both"/>
        <w:rPr>
          <w:rFonts w:ascii="Times New Roman" w:hAnsi="Times New Roman" w:cs="Times New Roman"/>
          <w:color w:val="000000"/>
          <w:sz w:val="23"/>
          <w:szCs w:val="23"/>
          <w:lang w:val="ro-RO"/>
        </w:rPr>
      </w:pPr>
      <w:r w:rsidRPr="007C266E">
        <w:rPr>
          <w:rFonts w:ascii="Times New Roman" w:hAnsi="Times New Roman" w:cs="Times New Roman"/>
          <w:color w:val="000000"/>
          <w:sz w:val="23"/>
          <w:szCs w:val="23"/>
          <w:lang w:val="ro-RO"/>
        </w:rPr>
        <w:t xml:space="preserve">Totodată, Transelectrica SA participă alături de operatorii de Transport și Sistem din Grecia (IPTO), Italia (TERNA SpA și Bulgaria (ESO-EAD) la funcționarea Centrului de Coordonare a Rețelei de Energie Electrică din </w:t>
      </w:r>
      <w:r w:rsidRPr="007C266E">
        <w:rPr>
          <w:rFonts w:ascii="Times New Roman" w:hAnsi="Times New Roman" w:cs="Times New Roman"/>
          <w:color w:val="000000"/>
          <w:sz w:val="23"/>
          <w:szCs w:val="23"/>
          <w:lang w:val="ro-RO"/>
        </w:rPr>
        <w:lastRenderedPageBreak/>
        <w:t>Sud-Estul Europei („CC SEleNe“) în Tesalonic, Grecia. Cei patru OTS participă în mod egal la capitalul social al noii Companii, cu responsabilități privind siguranța regională a rețelei CC SEleNe.</w:t>
      </w:r>
    </w:p>
    <w:p w14:paraId="1BD6BE70" w14:textId="77777777" w:rsidR="00A047AF" w:rsidRPr="007C266E" w:rsidRDefault="00A047AF" w:rsidP="009E5804">
      <w:pPr>
        <w:spacing w:after="0" w:line="240" w:lineRule="auto"/>
        <w:jc w:val="both"/>
        <w:rPr>
          <w:rFonts w:ascii="Times New Roman" w:hAnsi="Times New Roman" w:cs="Times New Roman"/>
          <w:sz w:val="23"/>
          <w:szCs w:val="23"/>
          <w:lang w:val="ro-RO"/>
        </w:rPr>
      </w:pPr>
    </w:p>
    <w:p w14:paraId="58C080FD" w14:textId="77777777" w:rsidR="00E8624D" w:rsidRPr="007C266E" w:rsidRDefault="00E8624D" w:rsidP="009E5804">
      <w:pPr>
        <w:spacing w:after="0" w:line="240" w:lineRule="auto"/>
        <w:jc w:val="both"/>
        <w:rPr>
          <w:rFonts w:ascii="Times New Roman" w:hAnsi="Times New Roman" w:cs="Times New Roman"/>
          <w:b/>
          <w:sz w:val="23"/>
          <w:szCs w:val="23"/>
          <w:shd w:val="clear" w:color="auto" w:fill="FFFFFF"/>
          <w:lang w:val="ro-RO"/>
        </w:rPr>
      </w:pPr>
      <w:r w:rsidRPr="007C266E">
        <w:rPr>
          <w:rFonts w:ascii="Times New Roman" w:hAnsi="Times New Roman" w:cs="Times New Roman"/>
          <w:b/>
          <w:sz w:val="23"/>
          <w:szCs w:val="23"/>
          <w:shd w:val="clear" w:color="auto" w:fill="FFFFFF"/>
          <w:lang w:val="ro-RO"/>
        </w:rPr>
        <w:t>SOCIETATEA ENERGETICA ELECTRICA SA</w:t>
      </w:r>
    </w:p>
    <w:p w14:paraId="6C214432" w14:textId="77777777" w:rsidR="007310D7" w:rsidRPr="007C266E" w:rsidRDefault="007310D7" w:rsidP="009E5804">
      <w:pPr>
        <w:spacing w:after="0" w:line="240" w:lineRule="auto"/>
        <w:jc w:val="both"/>
        <w:rPr>
          <w:rFonts w:ascii="Times New Roman" w:hAnsi="Times New Roman" w:cs="Times New Roman"/>
          <w:b/>
          <w:sz w:val="23"/>
          <w:szCs w:val="23"/>
          <w:shd w:val="clear" w:color="auto" w:fill="FFFFFF"/>
          <w:lang w:val="ro-RO"/>
        </w:rPr>
      </w:pPr>
    </w:p>
    <w:p w14:paraId="53422DA5" w14:textId="77777777" w:rsidR="00217C05" w:rsidRPr="007C266E" w:rsidRDefault="00E8624D"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Electrica - Societatea Energetică Electrica SA este lider pe piaţa de distribuție și furnizare a energiei electrice din România, precum și unul dintre cei mai importanți jucători din sectorul serviciilor energetice. </w:t>
      </w:r>
    </w:p>
    <w:p w14:paraId="2CDDF9F8" w14:textId="77777777" w:rsidR="0066131C" w:rsidRPr="007C266E" w:rsidRDefault="0066131C"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Grupul Electrica </w:t>
      </w:r>
      <w:r w:rsidR="00B673FC" w:rsidRPr="007C266E">
        <w:rPr>
          <w:rFonts w:ascii="Times New Roman" w:hAnsi="Times New Roman" w:cs="Times New Roman"/>
          <w:sz w:val="23"/>
          <w:szCs w:val="23"/>
          <w:lang w:val="ro-RO"/>
        </w:rPr>
        <w:t>asigură</w:t>
      </w:r>
      <w:r w:rsidR="006E0E83" w:rsidRPr="007C266E">
        <w:rPr>
          <w:rFonts w:ascii="Times New Roman" w:hAnsi="Times New Roman" w:cs="Times New Roman"/>
          <w:sz w:val="23"/>
          <w:szCs w:val="23"/>
          <w:lang w:val="ro-RO"/>
        </w:rPr>
        <w:t xml:space="preserve"> servicii</w:t>
      </w:r>
      <w:r w:rsidR="00B673FC"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 xml:space="preserve"> pentru circa 3,8 milioane de utilizatori și are o arie de cuprindere națională – cu organizare în trei zone pentru distribuția energiei electrice: Transilvania Nord, Transilvania Sud, Muntenia Nord, și pe cuprinsul întregii țări pentru funizarea energiei electrice și pentru întreținere și servicii energetice.</w:t>
      </w:r>
    </w:p>
    <w:p w14:paraId="5ACB6F91" w14:textId="77777777" w:rsidR="0066131C" w:rsidRPr="007C266E" w:rsidRDefault="0066131C"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Din iulie 2014, Electrica este o companie cu capital majoritar privat, listată pe bursele de valori din București și Londra. Electrica este singura companie românească listată din domeniul distribuției și furnizării energiei electrice din România. Statul român, prin </w:t>
      </w:r>
      <w:r w:rsidR="003B75C8" w:rsidRPr="007C266E">
        <w:rPr>
          <w:rFonts w:ascii="Times New Roman" w:hAnsi="Times New Roman" w:cs="Times New Roman"/>
          <w:sz w:val="23"/>
          <w:szCs w:val="23"/>
          <w:lang w:val="ro-RO"/>
        </w:rPr>
        <w:t xml:space="preserve">Ministerul Economiei, Energiei și Mediului de Afaceri </w:t>
      </w:r>
      <w:r w:rsidRPr="007C266E">
        <w:rPr>
          <w:rFonts w:ascii="Times New Roman" w:hAnsi="Times New Roman" w:cs="Times New Roman"/>
          <w:sz w:val="23"/>
          <w:szCs w:val="23"/>
          <w:lang w:val="ro-RO"/>
        </w:rPr>
        <w:t>, deține 48,79% din capitalul social.</w:t>
      </w:r>
    </w:p>
    <w:p w14:paraId="0A2F3F6C" w14:textId="29446A73" w:rsidR="00485D2B" w:rsidRPr="007C266E" w:rsidRDefault="00485D2B" w:rsidP="00485D2B">
      <w:pPr>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Strategia aprobată pentru perioada 2019-2023 reia angajamentul Grupului Electrica de asigurare a echilibrului între crearea de valoare pe termen lung și maximizarea profitului</w:t>
      </w:r>
      <w:r w:rsidR="009E5B5E" w:rsidRPr="007C266E">
        <w:rPr>
          <w:rFonts w:ascii="Times New Roman" w:hAnsi="Times New Roman" w:cs="Times New Roman"/>
          <w:sz w:val="23"/>
          <w:szCs w:val="23"/>
          <w:lang w:val="ro-RO"/>
        </w:rPr>
        <w:t xml:space="preserve"> precum și </w:t>
      </w:r>
      <w:r w:rsidRPr="007C266E">
        <w:rPr>
          <w:rFonts w:ascii="Times New Roman" w:hAnsi="Times New Roman" w:cs="Times New Roman"/>
          <w:sz w:val="23"/>
          <w:szCs w:val="23"/>
          <w:lang w:val="ro-RO"/>
        </w:rPr>
        <w:t xml:space="preserve">de a deveni un jucător regional pe piața de energie. S-au intensificat eforturile în acest sens, oportunitățile monitorizate vizând atât zonele tradiționale (distribuție și furnizare de energie electrică), dar și zonele cu potențial de dezvoltare (de la furnizarea de gaz la activități noi, bazate pe tehnologii inovatoare). </w:t>
      </w:r>
    </w:p>
    <w:p w14:paraId="575B26EC" w14:textId="77777777" w:rsidR="00E8624D" w:rsidRPr="007C266E" w:rsidRDefault="00E8624D" w:rsidP="009E5804">
      <w:pPr>
        <w:spacing w:after="0" w:line="240" w:lineRule="auto"/>
        <w:jc w:val="both"/>
        <w:rPr>
          <w:rFonts w:ascii="Times New Roman" w:eastAsiaTheme="majorEastAsia" w:hAnsi="Times New Roman" w:cs="Times New Roman"/>
          <w:b/>
          <w:bCs/>
          <w:color w:val="365F91" w:themeColor="accent1" w:themeShade="BF"/>
          <w:sz w:val="23"/>
          <w:szCs w:val="23"/>
          <w:lang w:val="ro-RO"/>
        </w:rPr>
        <w:sectPr w:rsidR="00E8624D" w:rsidRPr="007C266E" w:rsidSect="0089425F">
          <w:type w:val="continuous"/>
          <w:pgSz w:w="12240" w:h="15840"/>
          <w:pgMar w:top="1440" w:right="1440" w:bottom="1440" w:left="1440" w:header="720" w:footer="720" w:gutter="0"/>
          <w:cols w:num="2" w:space="720"/>
          <w:docGrid w:linePitch="360"/>
        </w:sectPr>
      </w:pPr>
    </w:p>
    <w:p w14:paraId="5EF109B1" w14:textId="77777777" w:rsidR="00EE4C0C" w:rsidRPr="007C266E" w:rsidRDefault="00EE4C0C" w:rsidP="004B4A53">
      <w:pPr>
        <w:spacing w:line="240" w:lineRule="auto"/>
        <w:rPr>
          <w:rFonts w:ascii="Times New Roman" w:hAnsi="Times New Roman" w:cs="Times New Roman"/>
          <w:sz w:val="23"/>
          <w:szCs w:val="23"/>
          <w:lang w:val="ro-RO"/>
        </w:rPr>
      </w:pPr>
    </w:p>
    <w:p w14:paraId="600DC2F6" w14:textId="77777777" w:rsidR="00C43C61" w:rsidRPr="007C266E" w:rsidRDefault="00C43C61" w:rsidP="002500F7">
      <w:pPr>
        <w:pStyle w:val="Heading1"/>
        <w:numPr>
          <w:ilvl w:val="0"/>
          <w:numId w:val="7"/>
        </w:numPr>
        <w:spacing w:line="240" w:lineRule="auto"/>
        <w:rPr>
          <w:rFonts w:ascii="Times New Roman" w:hAnsi="Times New Roman" w:cs="Times New Roman"/>
          <w:sz w:val="23"/>
          <w:szCs w:val="23"/>
          <w:lang w:val="ro-RO"/>
        </w:rPr>
      </w:pPr>
      <w:bookmarkStart w:id="46" w:name="_Toc44400877"/>
      <w:r w:rsidRPr="007C266E">
        <w:rPr>
          <w:rFonts w:ascii="Times New Roman" w:hAnsi="Times New Roman" w:cs="Times New Roman"/>
          <w:sz w:val="23"/>
          <w:szCs w:val="23"/>
          <w:lang w:val="ro-RO"/>
        </w:rPr>
        <w:lastRenderedPageBreak/>
        <w:t>MĂSURI ȘI ACȚIUNI PENTRU ATINGEREA OBIECTIVELOR STRATEGICE</w:t>
      </w:r>
      <w:bookmarkEnd w:id="46"/>
    </w:p>
    <w:p w14:paraId="0AFD3448" w14:textId="77777777" w:rsidR="00E57F42" w:rsidRPr="007C266E" w:rsidRDefault="00E57F42" w:rsidP="009E5804">
      <w:pPr>
        <w:spacing w:after="0" w:line="240" w:lineRule="auto"/>
        <w:jc w:val="both"/>
        <w:rPr>
          <w:rFonts w:ascii="Times New Roman" w:hAnsi="Times New Roman" w:cs="Times New Roman"/>
          <w:sz w:val="23"/>
          <w:szCs w:val="23"/>
          <w:lang w:val="ro-RO"/>
        </w:rPr>
        <w:sectPr w:rsidR="00E57F42" w:rsidRPr="007C266E" w:rsidSect="0089425F">
          <w:type w:val="continuous"/>
          <w:pgSz w:w="12240" w:h="15840"/>
          <w:pgMar w:top="1440" w:right="1440" w:bottom="1440" w:left="1440" w:header="720" w:footer="720" w:gutter="0"/>
          <w:cols w:space="720"/>
          <w:docGrid w:linePitch="360"/>
        </w:sectPr>
      </w:pPr>
    </w:p>
    <w:p w14:paraId="2ECB6AA0"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CC64601" w14:textId="77777777" w:rsidR="00BB0673" w:rsidRPr="007C266E" w:rsidRDefault="0041061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Cele opt</w:t>
      </w:r>
      <w:r w:rsidR="00C43C61" w:rsidRPr="007C266E">
        <w:rPr>
          <w:rFonts w:ascii="Times New Roman" w:hAnsi="Times New Roman" w:cs="Times New Roman"/>
          <w:sz w:val="23"/>
          <w:szCs w:val="23"/>
          <w:lang w:val="ro-RO"/>
        </w:rPr>
        <w:t xml:space="preserve"> obiective strategice ale sectorului energetic românesc sunt </w:t>
      </w:r>
      <w:r w:rsidR="002C2D08" w:rsidRPr="007C266E">
        <w:rPr>
          <w:rFonts w:ascii="Times New Roman" w:hAnsi="Times New Roman" w:cs="Times New Roman"/>
          <w:sz w:val="23"/>
          <w:szCs w:val="23"/>
          <w:lang w:val="ro-RO"/>
        </w:rPr>
        <w:t>exprimate concret</w:t>
      </w:r>
      <w:r w:rsidR="00C43C61" w:rsidRPr="007C266E">
        <w:rPr>
          <w:rFonts w:ascii="Times New Roman" w:hAnsi="Times New Roman" w:cs="Times New Roman"/>
          <w:sz w:val="23"/>
          <w:szCs w:val="23"/>
          <w:lang w:val="ro-RO"/>
        </w:rPr>
        <w:t xml:space="preserve"> printr-un set de obiective operaționale (OP). La rândul lor, obiectivele operaționale </w:t>
      </w:r>
      <w:r w:rsidR="007A39DE" w:rsidRPr="007C266E">
        <w:rPr>
          <w:rFonts w:ascii="Times New Roman" w:hAnsi="Times New Roman" w:cs="Times New Roman"/>
          <w:sz w:val="23"/>
          <w:szCs w:val="23"/>
          <w:lang w:val="ro-RO"/>
        </w:rPr>
        <w:t xml:space="preserve">sunt </w:t>
      </w:r>
      <w:r w:rsidR="00C43C61" w:rsidRPr="007C266E">
        <w:rPr>
          <w:rFonts w:ascii="Times New Roman" w:hAnsi="Times New Roman" w:cs="Times New Roman"/>
          <w:sz w:val="23"/>
          <w:szCs w:val="23"/>
          <w:lang w:val="ro-RO"/>
        </w:rPr>
        <w:t xml:space="preserve">urmărite prin intermediul unor acțiuni prioritare (AP). </w:t>
      </w:r>
    </w:p>
    <w:p w14:paraId="6D7871F2" w14:textId="77777777" w:rsidR="008C39B4" w:rsidRPr="007C266E" w:rsidRDefault="008C39B4" w:rsidP="009E5804">
      <w:pPr>
        <w:spacing w:after="0" w:line="240" w:lineRule="auto"/>
        <w:jc w:val="both"/>
        <w:rPr>
          <w:rFonts w:ascii="Times New Roman" w:hAnsi="Times New Roman" w:cs="Times New Roman"/>
          <w:sz w:val="23"/>
          <w:szCs w:val="23"/>
          <w:lang w:val="ro-RO"/>
        </w:rPr>
      </w:pPr>
    </w:p>
    <w:p w14:paraId="40B84C1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corelație cu acțiunile prioritare și pe baza rezultatelor analizei cantitative, în capitolul VII sunt prezentate ținte cuantificabile, prin care sunt îndeplinite o parte a acțiunilor prioritare </w:t>
      </w:r>
      <w:r w:rsidR="007A39DE" w:rsidRPr="007C266E">
        <w:rPr>
          <w:rFonts w:ascii="Times New Roman" w:hAnsi="Times New Roman" w:cs="Times New Roman"/>
          <w:sz w:val="23"/>
          <w:szCs w:val="23"/>
          <w:lang w:val="ro-RO"/>
        </w:rPr>
        <w:t>pentru</w:t>
      </w:r>
      <w:r w:rsidRPr="007C266E">
        <w:rPr>
          <w:rFonts w:ascii="Times New Roman" w:hAnsi="Times New Roman" w:cs="Times New Roman"/>
          <w:sz w:val="23"/>
          <w:szCs w:val="23"/>
          <w:lang w:val="ro-RO"/>
        </w:rPr>
        <w:t xml:space="preserve"> orizontul anului 2030.</w:t>
      </w:r>
    </w:p>
    <w:p w14:paraId="794C263B" w14:textId="77777777" w:rsidR="00E57F42" w:rsidRPr="007C266E" w:rsidRDefault="00E57F42" w:rsidP="009E5804">
      <w:pPr>
        <w:spacing w:after="0" w:line="240" w:lineRule="auto"/>
        <w:jc w:val="both"/>
        <w:rPr>
          <w:rFonts w:ascii="Times New Roman" w:hAnsi="Times New Roman" w:cs="Times New Roman"/>
          <w:sz w:val="23"/>
          <w:szCs w:val="23"/>
          <w:lang w:val="ro-RO"/>
        </w:rPr>
        <w:sectPr w:rsidR="00E57F42" w:rsidRPr="007C266E" w:rsidSect="0089425F">
          <w:type w:val="continuous"/>
          <w:pgSz w:w="12240" w:h="15840"/>
          <w:pgMar w:top="1440" w:right="1440" w:bottom="1440" w:left="1440" w:header="720" w:footer="720" w:gutter="0"/>
          <w:cols w:num="2" w:space="720"/>
          <w:docGrid w:linePitch="360"/>
        </w:sectPr>
      </w:pPr>
    </w:p>
    <w:p w14:paraId="7963ACC0"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7FE743BF" w14:textId="0B3EB3B9" w:rsidR="00C43C61" w:rsidRPr="007C266E" w:rsidRDefault="00C43C61" w:rsidP="009E5804">
      <w:pPr>
        <w:spacing w:after="0" w:line="240" w:lineRule="auto"/>
        <w:jc w:val="right"/>
        <w:rPr>
          <w:rFonts w:ascii="Times New Roman" w:hAnsi="Times New Roman" w:cs="Times New Roman"/>
          <w:b/>
          <w:i/>
          <w:sz w:val="23"/>
          <w:szCs w:val="23"/>
          <w:lang w:val="ro-RO"/>
        </w:rPr>
      </w:pPr>
      <w:r w:rsidRPr="007C266E">
        <w:rPr>
          <w:rFonts w:ascii="Times New Roman" w:hAnsi="Times New Roman" w:cs="Times New Roman"/>
          <w:b/>
          <w:i/>
          <w:sz w:val="23"/>
          <w:szCs w:val="23"/>
          <w:lang w:val="ro-RO"/>
        </w:rPr>
        <w:t>Corespondența între obiectivele strategice fundamentale și obiectivele operaționale</w:t>
      </w:r>
    </w:p>
    <w:p w14:paraId="661EFC48" w14:textId="77777777" w:rsidR="00E57F42" w:rsidRPr="007C266E" w:rsidRDefault="00E57F42" w:rsidP="009E5804">
      <w:pPr>
        <w:spacing w:after="0" w:line="240" w:lineRule="auto"/>
        <w:jc w:val="both"/>
        <w:rPr>
          <w:rFonts w:ascii="Times New Roman" w:hAnsi="Times New Roman" w:cs="Times New Roman"/>
          <w:b/>
          <w:i/>
          <w:sz w:val="23"/>
          <w:szCs w:val="23"/>
          <w:lang w:val="ro-RO"/>
        </w:rPr>
        <w:sectPr w:rsidR="00E57F42" w:rsidRPr="007C266E" w:rsidSect="0089425F">
          <w:type w:val="continuous"/>
          <w:pgSz w:w="12240" w:h="15840"/>
          <w:pgMar w:top="1440" w:right="1440" w:bottom="1440" w:left="1440" w:header="720" w:footer="720" w:gutter="0"/>
          <w:cols w:space="720"/>
          <w:docGrid w:linePitch="360"/>
        </w:sectPr>
      </w:pPr>
    </w:p>
    <w:tbl>
      <w:tblPr>
        <w:tblW w:w="0" w:type="auto"/>
        <w:tblLayout w:type="fixed"/>
        <w:tblLook w:val="04A0" w:firstRow="1" w:lastRow="0" w:firstColumn="1" w:lastColumn="0" w:noHBand="0" w:noVBand="1"/>
      </w:tblPr>
      <w:tblGrid>
        <w:gridCol w:w="616"/>
        <w:gridCol w:w="1042"/>
        <w:gridCol w:w="1042"/>
        <w:gridCol w:w="1259"/>
        <w:gridCol w:w="1140"/>
        <w:gridCol w:w="1042"/>
        <w:gridCol w:w="1099"/>
        <w:gridCol w:w="1430"/>
        <w:gridCol w:w="906"/>
      </w:tblGrid>
      <w:tr w:rsidR="00F126EF" w:rsidRPr="007C266E" w14:paraId="40D13DDA" w14:textId="77777777" w:rsidTr="00E47896">
        <w:trPr>
          <w:trHeight w:val="630"/>
        </w:trPr>
        <w:tc>
          <w:tcPr>
            <w:tcW w:w="616" w:type="dxa"/>
            <w:tcBorders>
              <w:top w:val="nil"/>
              <w:left w:val="nil"/>
              <w:bottom w:val="nil"/>
              <w:right w:val="nil"/>
            </w:tcBorders>
            <w:shd w:val="clear" w:color="auto" w:fill="auto"/>
            <w:noWrap/>
            <w:vAlign w:val="bottom"/>
          </w:tcPr>
          <w:p w14:paraId="4DC146C6"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p>
        </w:tc>
        <w:tc>
          <w:tcPr>
            <w:tcW w:w="8960" w:type="dxa"/>
            <w:gridSpan w:val="8"/>
            <w:tcBorders>
              <w:top w:val="nil"/>
              <w:left w:val="nil"/>
              <w:bottom w:val="nil"/>
              <w:right w:val="nil"/>
            </w:tcBorders>
            <w:shd w:val="clear" w:color="auto" w:fill="auto"/>
            <w:noWrap/>
            <w:vAlign w:val="bottom"/>
            <w:hideMark/>
          </w:tcPr>
          <w:p w14:paraId="0AC4F3FF" w14:textId="77777777" w:rsidR="00F126EF" w:rsidRPr="007C266E" w:rsidRDefault="00F126EF" w:rsidP="009E5804">
            <w:pPr>
              <w:spacing w:after="0" w:line="240" w:lineRule="auto"/>
              <w:jc w:val="center"/>
              <w:rPr>
                <w:rFonts w:ascii="Times New Roman" w:eastAsia="Times New Roman" w:hAnsi="Times New Roman" w:cs="Times New Roman"/>
                <w:b/>
                <w:bCs/>
                <w:color w:val="FF0000"/>
                <w:sz w:val="23"/>
                <w:szCs w:val="23"/>
                <w:lang w:val="ro-RO"/>
              </w:rPr>
            </w:pPr>
          </w:p>
        </w:tc>
      </w:tr>
      <w:tr w:rsidR="00F126EF" w:rsidRPr="007C266E" w14:paraId="706011C6" w14:textId="77777777" w:rsidTr="005D4186">
        <w:trPr>
          <w:trHeight w:val="900"/>
        </w:trPr>
        <w:tc>
          <w:tcPr>
            <w:tcW w:w="616" w:type="dxa"/>
            <w:tcBorders>
              <w:top w:val="nil"/>
              <w:left w:val="nil"/>
              <w:bottom w:val="nil"/>
              <w:right w:val="nil"/>
            </w:tcBorders>
            <w:shd w:val="clear" w:color="auto" w:fill="auto"/>
            <w:noWrap/>
            <w:vAlign w:val="bottom"/>
            <w:hideMark/>
          </w:tcPr>
          <w:p w14:paraId="363EA139" w14:textId="77777777" w:rsidR="00F126EF" w:rsidRPr="007C266E" w:rsidRDefault="00F126EF" w:rsidP="006E1D2D">
            <w:pPr>
              <w:spacing w:after="0" w:line="240" w:lineRule="auto"/>
              <w:rPr>
                <w:rFonts w:ascii="Times New Roman" w:eastAsia="Times New Roman" w:hAnsi="Times New Roman" w:cs="Times New Roman"/>
                <w:color w:val="000000"/>
                <w:sz w:val="23"/>
                <w:szCs w:val="23"/>
                <w:lang w:val="ro-RO"/>
              </w:rPr>
            </w:pPr>
          </w:p>
        </w:tc>
        <w:tc>
          <w:tcPr>
            <w:tcW w:w="1042"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1BBBD70F"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Aport energetic</w:t>
            </w:r>
          </w:p>
        </w:tc>
        <w:tc>
          <w:tcPr>
            <w:tcW w:w="1042" w:type="dxa"/>
            <w:tcBorders>
              <w:top w:val="single" w:sz="4" w:space="0" w:color="auto"/>
              <w:left w:val="nil"/>
              <w:bottom w:val="single" w:sz="4" w:space="0" w:color="auto"/>
              <w:right w:val="single" w:sz="4" w:space="0" w:color="auto"/>
            </w:tcBorders>
            <w:shd w:val="clear" w:color="000000" w:fill="8DB4E2"/>
            <w:vAlign w:val="center"/>
            <w:hideMark/>
          </w:tcPr>
          <w:p w14:paraId="10361BA4"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Securitate</w:t>
            </w:r>
          </w:p>
        </w:tc>
        <w:tc>
          <w:tcPr>
            <w:tcW w:w="1259" w:type="dxa"/>
            <w:tcBorders>
              <w:top w:val="single" w:sz="4" w:space="0" w:color="auto"/>
              <w:left w:val="nil"/>
              <w:bottom w:val="single" w:sz="4" w:space="0" w:color="auto"/>
              <w:right w:val="single" w:sz="4" w:space="0" w:color="auto"/>
            </w:tcBorders>
            <w:shd w:val="clear" w:color="000000" w:fill="D9D9D9"/>
            <w:vAlign w:val="center"/>
            <w:hideMark/>
          </w:tcPr>
          <w:p w14:paraId="06CF171B"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Competitivitate</w:t>
            </w:r>
          </w:p>
        </w:tc>
        <w:tc>
          <w:tcPr>
            <w:tcW w:w="1140" w:type="dxa"/>
            <w:tcBorders>
              <w:top w:val="single" w:sz="4" w:space="0" w:color="auto"/>
              <w:left w:val="nil"/>
              <w:bottom w:val="single" w:sz="4" w:space="0" w:color="auto"/>
              <w:right w:val="single" w:sz="4" w:space="0" w:color="auto"/>
            </w:tcBorders>
            <w:shd w:val="clear" w:color="000000" w:fill="92D050"/>
            <w:vAlign w:val="center"/>
            <w:hideMark/>
          </w:tcPr>
          <w:p w14:paraId="51B626F2"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Energie curată/Mediu</w:t>
            </w:r>
          </w:p>
        </w:tc>
        <w:tc>
          <w:tcPr>
            <w:tcW w:w="1042" w:type="dxa"/>
            <w:tcBorders>
              <w:top w:val="single" w:sz="4" w:space="0" w:color="auto"/>
              <w:left w:val="nil"/>
              <w:bottom w:val="single" w:sz="4" w:space="0" w:color="auto"/>
              <w:right w:val="single" w:sz="4" w:space="0" w:color="auto"/>
            </w:tcBorders>
            <w:shd w:val="clear" w:color="000000" w:fill="00B0F0"/>
            <w:vAlign w:val="center"/>
            <w:hideMark/>
          </w:tcPr>
          <w:p w14:paraId="5400FE56"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Guvernanță</w:t>
            </w:r>
          </w:p>
        </w:tc>
        <w:tc>
          <w:tcPr>
            <w:tcW w:w="1099" w:type="dxa"/>
            <w:tcBorders>
              <w:top w:val="single" w:sz="4" w:space="0" w:color="auto"/>
              <w:left w:val="nil"/>
              <w:bottom w:val="single" w:sz="4" w:space="0" w:color="auto"/>
              <w:right w:val="single" w:sz="4" w:space="0" w:color="auto"/>
            </w:tcBorders>
            <w:shd w:val="clear" w:color="000000" w:fill="C4BD97"/>
            <w:vAlign w:val="center"/>
            <w:hideMark/>
          </w:tcPr>
          <w:p w14:paraId="4529FCB6"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Consumator/ Acces la energie</w:t>
            </w:r>
          </w:p>
        </w:tc>
        <w:tc>
          <w:tcPr>
            <w:tcW w:w="1430" w:type="dxa"/>
            <w:tcBorders>
              <w:top w:val="single" w:sz="4" w:space="0" w:color="auto"/>
              <w:left w:val="nil"/>
              <w:bottom w:val="single" w:sz="4" w:space="0" w:color="auto"/>
              <w:right w:val="single" w:sz="4" w:space="0" w:color="auto"/>
            </w:tcBorders>
            <w:shd w:val="clear" w:color="000000" w:fill="E6B8B7"/>
            <w:vAlign w:val="center"/>
            <w:hideMark/>
          </w:tcPr>
          <w:p w14:paraId="76D0B94A"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Consumator vulnerabil/Sărăcie energetică</w:t>
            </w:r>
          </w:p>
        </w:tc>
        <w:tc>
          <w:tcPr>
            <w:tcW w:w="906" w:type="dxa"/>
            <w:tcBorders>
              <w:top w:val="single" w:sz="4" w:space="0" w:color="auto"/>
              <w:left w:val="nil"/>
              <w:bottom w:val="single" w:sz="4" w:space="0" w:color="auto"/>
              <w:right w:val="single" w:sz="4" w:space="0" w:color="auto"/>
            </w:tcBorders>
            <w:shd w:val="clear" w:color="000000" w:fill="DAEEF3"/>
            <w:noWrap/>
            <w:vAlign w:val="center"/>
            <w:hideMark/>
          </w:tcPr>
          <w:p w14:paraId="406150A8"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Educație</w:t>
            </w:r>
          </w:p>
        </w:tc>
      </w:tr>
      <w:tr w:rsidR="00F126EF" w:rsidRPr="007C266E" w14:paraId="718CDE81" w14:textId="77777777" w:rsidTr="005D4186">
        <w:trPr>
          <w:trHeight w:val="26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6C37B"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OP1</w:t>
            </w:r>
          </w:p>
        </w:tc>
        <w:tc>
          <w:tcPr>
            <w:tcW w:w="1042" w:type="dxa"/>
            <w:tcBorders>
              <w:top w:val="nil"/>
              <w:left w:val="nil"/>
              <w:bottom w:val="single" w:sz="4" w:space="0" w:color="auto"/>
              <w:right w:val="single" w:sz="4" w:space="0" w:color="auto"/>
            </w:tcBorders>
            <w:shd w:val="clear" w:color="000000" w:fill="FABF8F"/>
            <w:noWrap/>
            <w:vAlign w:val="center"/>
            <w:hideMark/>
          </w:tcPr>
          <w:p w14:paraId="22D6048D"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42" w:type="dxa"/>
            <w:tcBorders>
              <w:top w:val="nil"/>
              <w:left w:val="nil"/>
              <w:bottom w:val="single" w:sz="4" w:space="0" w:color="auto"/>
              <w:right w:val="single" w:sz="4" w:space="0" w:color="auto"/>
            </w:tcBorders>
            <w:shd w:val="clear" w:color="000000" w:fill="8DB4E2"/>
            <w:noWrap/>
            <w:vAlign w:val="center"/>
            <w:hideMark/>
          </w:tcPr>
          <w:p w14:paraId="077957EA"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259" w:type="dxa"/>
            <w:tcBorders>
              <w:top w:val="nil"/>
              <w:left w:val="nil"/>
              <w:bottom w:val="single" w:sz="4" w:space="0" w:color="auto"/>
              <w:right w:val="single" w:sz="4" w:space="0" w:color="auto"/>
            </w:tcBorders>
            <w:shd w:val="clear" w:color="000000" w:fill="D9D9D9"/>
            <w:noWrap/>
            <w:vAlign w:val="center"/>
            <w:hideMark/>
          </w:tcPr>
          <w:p w14:paraId="552E5272"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140" w:type="dxa"/>
            <w:tcBorders>
              <w:top w:val="nil"/>
              <w:left w:val="nil"/>
              <w:bottom w:val="single" w:sz="4" w:space="0" w:color="auto"/>
              <w:right w:val="single" w:sz="4" w:space="0" w:color="auto"/>
            </w:tcBorders>
            <w:shd w:val="clear" w:color="000000" w:fill="92D050"/>
            <w:noWrap/>
            <w:vAlign w:val="center"/>
            <w:hideMark/>
          </w:tcPr>
          <w:p w14:paraId="6D1DC038"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42" w:type="dxa"/>
            <w:tcBorders>
              <w:top w:val="nil"/>
              <w:left w:val="nil"/>
              <w:bottom w:val="single" w:sz="4" w:space="0" w:color="auto"/>
              <w:right w:val="single" w:sz="4" w:space="0" w:color="auto"/>
            </w:tcBorders>
            <w:shd w:val="clear" w:color="000000" w:fill="00B0F0"/>
            <w:noWrap/>
            <w:vAlign w:val="center"/>
            <w:hideMark/>
          </w:tcPr>
          <w:p w14:paraId="29641842"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4" w:space="0" w:color="auto"/>
              <w:right w:val="single" w:sz="4" w:space="0" w:color="auto"/>
            </w:tcBorders>
            <w:shd w:val="clear" w:color="000000" w:fill="C4BD97"/>
            <w:noWrap/>
            <w:vAlign w:val="center"/>
            <w:hideMark/>
          </w:tcPr>
          <w:p w14:paraId="000375D2"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4" w:space="0" w:color="auto"/>
              <w:right w:val="single" w:sz="4" w:space="0" w:color="auto"/>
            </w:tcBorders>
            <w:shd w:val="clear" w:color="000000" w:fill="E6B8B7"/>
            <w:noWrap/>
            <w:vAlign w:val="center"/>
            <w:hideMark/>
          </w:tcPr>
          <w:p w14:paraId="1FCBA49A"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center"/>
            <w:hideMark/>
          </w:tcPr>
          <w:p w14:paraId="62765AF9"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r>
      <w:tr w:rsidR="00F126EF" w:rsidRPr="007C266E" w14:paraId="4CB83D86" w14:textId="77777777" w:rsidTr="005D4186">
        <w:trPr>
          <w:trHeight w:val="2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40ED81"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OP2</w:t>
            </w:r>
          </w:p>
        </w:tc>
        <w:tc>
          <w:tcPr>
            <w:tcW w:w="1042" w:type="dxa"/>
            <w:tcBorders>
              <w:top w:val="nil"/>
              <w:left w:val="nil"/>
              <w:bottom w:val="single" w:sz="4" w:space="0" w:color="auto"/>
              <w:right w:val="single" w:sz="4" w:space="0" w:color="auto"/>
            </w:tcBorders>
            <w:shd w:val="clear" w:color="000000" w:fill="FABF8F"/>
            <w:noWrap/>
            <w:vAlign w:val="center"/>
            <w:hideMark/>
          </w:tcPr>
          <w:p w14:paraId="09E44469"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42" w:type="dxa"/>
            <w:tcBorders>
              <w:top w:val="nil"/>
              <w:left w:val="nil"/>
              <w:bottom w:val="single" w:sz="4" w:space="0" w:color="auto"/>
              <w:right w:val="single" w:sz="4" w:space="0" w:color="auto"/>
            </w:tcBorders>
            <w:shd w:val="clear" w:color="000000" w:fill="8DB4E2"/>
            <w:noWrap/>
            <w:vAlign w:val="center"/>
            <w:hideMark/>
          </w:tcPr>
          <w:p w14:paraId="15211BC1"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259" w:type="dxa"/>
            <w:tcBorders>
              <w:top w:val="nil"/>
              <w:left w:val="nil"/>
              <w:bottom w:val="single" w:sz="4" w:space="0" w:color="auto"/>
              <w:right w:val="single" w:sz="4" w:space="0" w:color="auto"/>
            </w:tcBorders>
            <w:shd w:val="clear" w:color="000000" w:fill="D9D9D9"/>
            <w:noWrap/>
            <w:vAlign w:val="center"/>
            <w:hideMark/>
          </w:tcPr>
          <w:p w14:paraId="32328A04"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nil"/>
              <w:left w:val="nil"/>
              <w:bottom w:val="single" w:sz="4" w:space="0" w:color="auto"/>
              <w:right w:val="single" w:sz="4" w:space="0" w:color="auto"/>
            </w:tcBorders>
            <w:shd w:val="clear" w:color="000000" w:fill="92D050"/>
            <w:noWrap/>
            <w:vAlign w:val="center"/>
            <w:hideMark/>
          </w:tcPr>
          <w:p w14:paraId="57E57931"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00B0F0"/>
            <w:noWrap/>
            <w:vAlign w:val="center"/>
            <w:hideMark/>
          </w:tcPr>
          <w:p w14:paraId="1967406B"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4" w:space="0" w:color="auto"/>
              <w:right w:val="single" w:sz="4" w:space="0" w:color="auto"/>
            </w:tcBorders>
            <w:shd w:val="clear" w:color="000000" w:fill="C4BD97"/>
            <w:noWrap/>
            <w:vAlign w:val="center"/>
            <w:hideMark/>
          </w:tcPr>
          <w:p w14:paraId="291F06C3"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4" w:space="0" w:color="auto"/>
              <w:right w:val="single" w:sz="4" w:space="0" w:color="auto"/>
            </w:tcBorders>
            <w:shd w:val="clear" w:color="000000" w:fill="E6B8B7"/>
            <w:noWrap/>
            <w:vAlign w:val="center"/>
            <w:hideMark/>
          </w:tcPr>
          <w:p w14:paraId="26534208"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bottom"/>
            <w:hideMark/>
          </w:tcPr>
          <w:p w14:paraId="6318E28E"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3F338C75" w14:textId="77777777" w:rsidTr="005D4186">
        <w:trPr>
          <w:trHeight w:val="2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31D12A6"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OP3</w:t>
            </w:r>
          </w:p>
        </w:tc>
        <w:tc>
          <w:tcPr>
            <w:tcW w:w="1042" w:type="dxa"/>
            <w:tcBorders>
              <w:top w:val="nil"/>
              <w:left w:val="nil"/>
              <w:bottom w:val="single" w:sz="4" w:space="0" w:color="auto"/>
              <w:right w:val="single" w:sz="4" w:space="0" w:color="auto"/>
            </w:tcBorders>
            <w:shd w:val="clear" w:color="000000" w:fill="FABF8F"/>
            <w:noWrap/>
            <w:vAlign w:val="center"/>
            <w:hideMark/>
          </w:tcPr>
          <w:p w14:paraId="1D614366"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42" w:type="dxa"/>
            <w:tcBorders>
              <w:top w:val="nil"/>
              <w:left w:val="nil"/>
              <w:bottom w:val="single" w:sz="4" w:space="0" w:color="auto"/>
              <w:right w:val="single" w:sz="4" w:space="0" w:color="auto"/>
            </w:tcBorders>
            <w:shd w:val="clear" w:color="000000" w:fill="8DB4E2"/>
            <w:noWrap/>
            <w:vAlign w:val="center"/>
            <w:hideMark/>
          </w:tcPr>
          <w:p w14:paraId="37635268"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259" w:type="dxa"/>
            <w:tcBorders>
              <w:top w:val="nil"/>
              <w:left w:val="nil"/>
              <w:bottom w:val="single" w:sz="4" w:space="0" w:color="auto"/>
              <w:right w:val="single" w:sz="4" w:space="0" w:color="auto"/>
            </w:tcBorders>
            <w:shd w:val="clear" w:color="000000" w:fill="D9D9D9"/>
            <w:noWrap/>
            <w:vAlign w:val="center"/>
            <w:hideMark/>
          </w:tcPr>
          <w:p w14:paraId="785D3C04"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nil"/>
              <w:left w:val="nil"/>
              <w:bottom w:val="single" w:sz="4" w:space="0" w:color="auto"/>
              <w:right w:val="single" w:sz="4" w:space="0" w:color="auto"/>
            </w:tcBorders>
            <w:shd w:val="clear" w:color="000000" w:fill="92D050"/>
            <w:noWrap/>
            <w:vAlign w:val="center"/>
            <w:hideMark/>
          </w:tcPr>
          <w:p w14:paraId="2BD4564C"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00B0F0"/>
            <w:noWrap/>
            <w:vAlign w:val="center"/>
            <w:hideMark/>
          </w:tcPr>
          <w:p w14:paraId="0BFF6A5E"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4" w:space="0" w:color="auto"/>
              <w:right w:val="single" w:sz="4" w:space="0" w:color="auto"/>
            </w:tcBorders>
            <w:shd w:val="clear" w:color="000000" w:fill="C4BD97"/>
            <w:noWrap/>
            <w:vAlign w:val="center"/>
            <w:hideMark/>
          </w:tcPr>
          <w:p w14:paraId="60A059EF"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4" w:space="0" w:color="auto"/>
              <w:right w:val="single" w:sz="4" w:space="0" w:color="auto"/>
            </w:tcBorders>
            <w:shd w:val="clear" w:color="000000" w:fill="E6B8B7"/>
            <w:noWrap/>
            <w:vAlign w:val="center"/>
            <w:hideMark/>
          </w:tcPr>
          <w:p w14:paraId="02A7121A"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bottom"/>
            <w:hideMark/>
          </w:tcPr>
          <w:p w14:paraId="5E6E0E9D"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71F00481" w14:textId="77777777" w:rsidTr="005D4186">
        <w:trPr>
          <w:trHeight w:val="260"/>
        </w:trPr>
        <w:tc>
          <w:tcPr>
            <w:tcW w:w="616" w:type="dxa"/>
            <w:tcBorders>
              <w:top w:val="nil"/>
              <w:left w:val="single" w:sz="4" w:space="0" w:color="auto"/>
              <w:bottom w:val="single" w:sz="8" w:space="0" w:color="auto"/>
              <w:right w:val="single" w:sz="4" w:space="0" w:color="auto"/>
            </w:tcBorders>
            <w:shd w:val="clear" w:color="auto" w:fill="auto"/>
            <w:noWrap/>
            <w:vAlign w:val="center"/>
            <w:hideMark/>
          </w:tcPr>
          <w:p w14:paraId="37A032CE"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OP4</w:t>
            </w:r>
          </w:p>
        </w:tc>
        <w:tc>
          <w:tcPr>
            <w:tcW w:w="1042" w:type="dxa"/>
            <w:tcBorders>
              <w:top w:val="nil"/>
              <w:left w:val="nil"/>
              <w:bottom w:val="single" w:sz="8" w:space="0" w:color="auto"/>
              <w:right w:val="single" w:sz="4" w:space="0" w:color="auto"/>
            </w:tcBorders>
            <w:shd w:val="clear" w:color="000000" w:fill="FABF8F"/>
            <w:noWrap/>
            <w:vAlign w:val="center"/>
            <w:hideMark/>
          </w:tcPr>
          <w:p w14:paraId="17C9DB8F"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42" w:type="dxa"/>
            <w:tcBorders>
              <w:top w:val="nil"/>
              <w:left w:val="nil"/>
              <w:bottom w:val="single" w:sz="8" w:space="0" w:color="auto"/>
              <w:right w:val="single" w:sz="4" w:space="0" w:color="auto"/>
            </w:tcBorders>
            <w:shd w:val="clear" w:color="000000" w:fill="8DB4E2"/>
            <w:noWrap/>
            <w:vAlign w:val="center"/>
            <w:hideMark/>
          </w:tcPr>
          <w:p w14:paraId="35F8C4CE"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259" w:type="dxa"/>
            <w:tcBorders>
              <w:top w:val="nil"/>
              <w:left w:val="nil"/>
              <w:bottom w:val="single" w:sz="8" w:space="0" w:color="auto"/>
              <w:right w:val="single" w:sz="4" w:space="0" w:color="auto"/>
            </w:tcBorders>
            <w:shd w:val="clear" w:color="000000" w:fill="D9D9D9"/>
            <w:noWrap/>
            <w:vAlign w:val="center"/>
            <w:hideMark/>
          </w:tcPr>
          <w:p w14:paraId="23A2F418"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nil"/>
              <w:left w:val="nil"/>
              <w:bottom w:val="single" w:sz="8" w:space="0" w:color="auto"/>
              <w:right w:val="single" w:sz="4" w:space="0" w:color="auto"/>
            </w:tcBorders>
            <w:shd w:val="clear" w:color="000000" w:fill="92D050"/>
            <w:noWrap/>
            <w:vAlign w:val="center"/>
            <w:hideMark/>
          </w:tcPr>
          <w:p w14:paraId="3D7B0DB7"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8" w:space="0" w:color="auto"/>
              <w:right w:val="single" w:sz="4" w:space="0" w:color="auto"/>
            </w:tcBorders>
            <w:shd w:val="clear" w:color="000000" w:fill="00B0F0"/>
            <w:noWrap/>
            <w:vAlign w:val="center"/>
            <w:hideMark/>
          </w:tcPr>
          <w:p w14:paraId="34CA0CE2"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8" w:space="0" w:color="auto"/>
              <w:right w:val="single" w:sz="4" w:space="0" w:color="auto"/>
            </w:tcBorders>
            <w:shd w:val="clear" w:color="000000" w:fill="C4BD97"/>
            <w:noWrap/>
            <w:vAlign w:val="center"/>
            <w:hideMark/>
          </w:tcPr>
          <w:p w14:paraId="465D070E"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8" w:space="0" w:color="auto"/>
              <w:right w:val="single" w:sz="4" w:space="0" w:color="auto"/>
            </w:tcBorders>
            <w:shd w:val="clear" w:color="000000" w:fill="E6B8B7"/>
            <w:noWrap/>
            <w:vAlign w:val="center"/>
            <w:hideMark/>
          </w:tcPr>
          <w:p w14:paraId="79E46C77"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8" w:space="0" w:color="auto"/>
              <w:right w:val="single" w:sz="4" w:space="0" w:color="auto"/>
            </w:tcBorders>
            <w:shd w:val="clear" w:color="000000" w:fill="DAEEF3"/>
            <w:noWrap/>
            <w:vAlign w:val="bottom"/>
            <w:hideMark/>
          </w:tcPr>
          <w:p w14:paraId="4B21FCE7"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515BA3B8" w14:textId="77777777" w:rsidTr="005D4186">
        <w:trPr>
          <w:trHeight w:val="25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FE9B9DC"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OP5</w:t>
            </w:r>
          </w:p>
        </w:tc>
        <w:tc>
          <w:tcPr>
            <w:tcW w:w="1042" w:type="dxa"/>
            <w:tcBorders>
              <w:top w:val="nil"/>
              <w:left w:val="nil"/>
              <w:bottom w:val="single" w:sz="4" w:space="0" w:color="auto"/>
              <w:right w:val="single" w:sz="4" w:space="0" w:color="auto"/>
            </w:tcBorders>
            <w:shd w:val="clear" w:color="000000" w:fill="FABF8F"/>
            <w:noWrap/>
            <w:vAlign w:val="center"/>
            <w:hideMark/>
          </w:tcPr>
          <w:p w14:paraId="648BDD19"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8DB4E2"/>
            <w:noWrap/>
            <w:vAlign w:val="center"/>
            <w:hideMark/>
          </w:tcPr>
          <w:p w14:paraId="64AE006A"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259" w:type="dxa"/>
            <w:tcBorders>
              <w:top w:val="nil"/>
              <w:left w:val="nil"/>
              <w:bottom w:val="single" w:sz="4" w:space="0" w:color="auto"/>
              <w:right w:val="single" w:sz="4" w:space="0" w:color="auto"/>
            </w:tcBorders>
            <w:shd w:val="clear" w:color="000000" w:fill="D9D9D9"/>
            <w:noWrap/>
            <w:vAlign w:val="center"/>
            <w:hideMark/>
          </w:tcPr>
          <w:p w14:paraId="0252D7C6"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140" w:type="dxa"/>
            <w:tcBorders>
              <w:top w:val="nil"/>
              <w:left w:val="nil"/>
              <w:bottom w:val="single" w:sz="4" w:space="0" w:color="auto"/>
              <w:right w:val="single" w:sz="4" w:space="0" w:color="auto"/>
            </w:tcBorders>
            <w:shd w:val="clear" w:color="000000" w:fill="92D050"/>
            <w:noWrap/>
            <w:vAlign w:val="center"/>
            <w:hideMark/>
          </w:tcPr>
          <w:p w14:paraId="3F2C84AC"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00B0F0"/>
            <w:noWrap/>
            <w:vAlign w:val="center"/>
            <w:hideMark/>
          </w:tcPr>
          <w:p w14:paraId="29EA87BD"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4" w:space="0" w:color="auto"/>
              <w:right w:val="single" w:sz="4" w:space="0" w:color="auto"/>
            </w:tcBorders>
            <w:shd w:val="clear" w:color="000000" w:fill="C4BD97"/>
            <w:noWrap/>
            <w:vAlign w:val="center"/>
            <w:hideMark/>
          </w:tcPr>
          <w:p w14:paraId="2566328E"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430" w:type="dxa"/>
            <w:tcBorders>
              <w:top w:val="nil"/>
              <w:left w:val="nil"/>
              <w:bottom w:val="single" w:sz="4" w:space="0" w:color="auto"/>
              <w:right w:val="single" w:sz="4" w:space="0" w:color="auto"/>
            </w:tcBorders>
            <w:shd w:val="clear" w:color="000000" w:fill="E6B8B7"/>
            <w:noWrap/>
            <w:vAlign w:val="center"/>
            <w:hideMark/>
          </w:tcPr>
          <w:p w14:paraId="5CAE43B5"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906" w:type="dxa"/>
            <w:tcBorders>
              <w:top w:val="nil"/>
              <w:left w:val="nil"/>
              <w:bottom w:val="single" w:sz="4" w:space="0" w:color="auto"/>
              <w:right w:val="single" w:sz="4" w:space="0" w:color="auto"/>
            </w:tcBorders>
            <w:shd w:val="clear" w:color="000000" w:fill="DAEEF3"/>
            <w:noWrap/>
            <w:vAlign w:val="bottom"/>
            <w:hideMark/>
          </w:tcPr>
          <w:p w14:paraId="24685398"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289B7BD3" w14:textId="77777777" w:rsidTr="005D4186">
        <w:trPr>
          <w:trHeight w:val="2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3A497D8"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OP6</w:t>
            </w:r>
          </w:p>
        </w:tc>
        <w:tc>
          <w:tcPr>
            <w:tcW w:w="1042" w:type="dxa"/>
            <w:tcBorders>
              <w:top w:val="nil"/>
              <w:left w:val="nil"/>
              <w:bottom w:val="single" w:sz="4" w:space="0" w:color="auto"/>
              <w:right w:val="single" w:sz="4" w:space="0" w:color="auto"/>
            </w:tcBorders>
            <w:shd w:val="clear" w:color="000000" w:fill="FABF8F"/>
            <w:noWrap/>
            <w:vAlign w:val="center"/>
            <w:hideMark/>
          </w:tcPr>
          <w:p w14:paraId="1C6216AF"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8DB4E2"/>
            <w:noWrap/>
            <w:vAlign w:val="center"/>
            <w:hideMark/>
          </w:tcPr>
          <w:p w14:paraId="7A0CE98C"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259" w:type="dxa"/>
            <w:tcBorders>
              <w:top w:val="nil"/>
              <w:left w:val="nil"/>
              <w:bottom w:val="single" w:sz="4" w:space="0" w:color="auto"/>
              <w:right w:val="single" w:sz="4" w:space="0" w:color="auto"/>
            </w:tcBorders>
            <w:shd w:val="clear" w:color="000000" w:fill="D9D9D9"/>
            <w:noWrap/>
            <w:vAlign w:val="center"/>
            <w:hideMark/>
          </w:tcPr>
          <w:p w14:paraId="5C68A5FB"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nil"/>
              <w:left w:val="nil"/>
              <w:bottom w:val="single" w:sz="4" w:space="0" w:color="auto"/>
              <w:right w:val="single" w:sz="4" w:space="0" w:color="auto"/>
            </w:tcBorders>
            <w:shd w:val="clear" w:color="000000" w:fill="92D050"/>
            <w:noWrap/>
            <w:vAlign w:val="center"/>
            <w:hideMark/>
          </w:tcPr>
          <w:p w14:paraId="35B46D6B"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00B0F0"/>
            <w:noWrap/>
            <w:vAlign w:val="center"/>
            <w:hideMark/>
          </w:tcPr>
          <w:p w14:paraId="65D6768A"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4" w:space="0" w:color="auto"/>
              <w:right w:val="single" w:sz="4" w:space="0" w:color="auto"/>
            </w:tcBorders>
            <w:shd w:val="clear" w:color="000000" w:fill="C4BD97"/>
            <w:noWrap/>
            <w:vAlign w:val="center"/>
            <w:hideMark/>
          </w:tcPr>
          <w:p w14:paraId="6F8E6FB6"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4" w:space="0" w:color="auto"/>
              <w:right w:val="single" w:sz="4" w:space="0" w:color="auto"/>
            </w:tcBorders>
            <w:shd w:val="clear" w:color="000000" w:fill="E6B8B7"/>
            <w:noWrap/>
            <w:vAlign w:val="center"/>
            <w:hideMark/>
          </w:tcPr>
          <w:p w14:paraId="46608251"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bottom"/>
            <w:hideMark/>
          </w:tcPr>
          <w:p w14:paraId="7F743829"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19CC108C" w14:textId="77777777" w:rsidTr="005D4186">
        <w:trPr>
          <w:trHeight w:val="2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EA1C1A"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OP7</w:t>
            </w:r>
          </w:p>
        </w:tc>
        <w:tc>
          <w:tcPr>
            <w:tcW w:w="1042" w:type="dxa"/>
            <w:tcBorders>
              <w:top w:val="nil"/>
              <w:left w:val="nil"/>
              <w:bottom w:val="single" w:sz="4" w:space="0" w:color="auto"/>
              <w:right w:val="single" w:sz="4" w:space="0" w:color="auto"/>
            </w:tcBorders>
            <w:shd w:val="clear" w:color="000000" w:fill="FABF8F"/>
            <w:noWrap/>
            <w:vAlign w:val="center"/>
            <w:hideMark/>
          </w:tcPr>
          <w:p w14:paraId="0344F21B"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8DB4E2"/>
            <w:noWrap/>
            <w:vAlign w:val="center"/>
            <w:hideMark/>
          </w:tcPr>
          <w:p w14:paraId="0708B594"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259" w:type="dxa"/>
            <w:tcBorders>
              <w:top w:val="nil"/>
              <w:left w:val="nil"/>
              <w:bottom w:val="single" w:sz="4" w:space="0" w:color="auto"/>
              <w:right w:val="single" w:sz="4" w:space="0" w:color="auto"/>
            </w:tcBorders>
            <w:shd w:val="clear" w:color="000000" w:fill="D9D9D9"/>
            <w:noWrap/>
            <w:vAlign w:val="center"/>
            <w:hideMark/>
          </w:tcPr>
          <w:p w14:paraId="742A91FB"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nil"/>
              <w:left w:val="nil"/>
              <w:bottom w:val="single" w:sz="4" w:space="0" w:color="auto"/>
              <w:right w:val="single" w:sz="4" w:space="0" w:color="auto"/>
            </w:tcBorders>
            <w:shd w:val="clear" w:color="000000" w:fill="92D050"/>
            <w:noWrap/>
            <w:vAlign w:val="center"/>
            <w:hideMark/>
          </w:tcPr>
          <w:p w14:paraId="202F4941"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00B0F0"/>
            <w:noWrap/>
            <w:vAlign w:val="center"/>
            <w:hideMark/>
          </w:tcPr>
          <w:p w14:paraId="511A0FB7"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4" w:space="0" w:color="auto"/>
              <w:right w:val="single" w:sz="4" w:space="0" w:color="auto"/>
            </w:tcBorders>
            <w:shd w:val="clear" w:color="000000" w:fill="C4BD97"/>
            <w:noWrap/>
            <w:vAlign w:val="center"/>
            <w:hideMark/>
          </w:tcPr>
          <w:p w14:paraId="6FD9B5CC"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4" w:space="0" w:color="auto"/>
              <w:right w:val="single" w:sz="4" w:space="0" w:color="auto"/>
            </w:tcBorders>
            <w:shd w:val="clear" w:color="000000" w:fill="E6B8B7"/>
            <w:noWrap/>
            <w:vAlign w:val="center"/>
            <w:hideMark/>
          </w:tcPr>
          <w:p w14:paraId="0E20368B"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bottom"/>
            <w:hideMark/>
          </w:tcPr>
          <w:p w14:paraId="04D92779"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6DD47795" w14:textId="77777777" w:rsidTr="005D4186">
        <w:trPr>
          <w:trHeight w:val="260"/>
        </w:trPr>
        <w:tc>
          <w:tcPr>
            <w:tcW w:w="616" w:type="dxa"/>
            <w:tcBorders>
              <w:top w:val="nil"/>
              <w:left w:val="single" w:sz="4" w:space="0" w:color="auto"/>
              <w:bottom w:val="single" w:sz="8" w:space="0" w:color="auto"/>
              <w:right w:val="single" w:sz="4" w:space="0" w:color="auto"/>
            </w:tcBorders>
            <w:shd w:val="clear" w:color="auto" w:fill="auto"/>
            <w:noWrap/>
            <w:vAlign w:val="center"/>
            <w:hideMark/>
          </w:tcPr>
          <w:p w14:paraId="44A37831"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OP8</w:t>
            </w:r>
          </w:p>
        </w:tc>
        <w:tc>
          <w:tcPr>
            <w:tcW w:w="1042" w:type="dxa"/>
            <w:tcBorders>
              <w:top w:val="nil"/>
              <w:left w:val="nil"/>
              <w:bottom w:val="single" w:sz="8" w:space="0" w:color="auto"/>
              <w:right w:val="single" w:sz="4" w:space="0" w:color="auto"/>
            </w:tcBorders>
            <w:shd w:val="clear" w:color="000000" w:fill="FABF8F"/>
            <w:noWrap/>
            <w:vAlign w:val="center"/>
            <w:hideMark/>
          </w:tcPr>
          <w:p w14:paraId="4E46C585"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8" w:space="0" w:color="auto"/>
              <w:right w:val="single" w:sz="4" w:space="0" w:color="auto"/>
            </w:tcBorders>
            <w:shd w:val="clear" w:color="000000" w:fill="8DB4E2"/>
            <w:noWrap/>
            <w:vAlign w:val="center"/>
            <w:hideMark/>
          </w:tcPr>
          <w:p w14:paraId="0C14515E"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259" w:type="dxa"/>
            <w:tcBorders>
              <w:top w:val="nil"/>
              <w:left w:val="nil"/>
              <w:bottom w:val="single" w:sz="8" w:space="0" w:color="auto"/>
              <w:right w:val="single" w:sz="4" w:space="0" w:color="auto"/>
            </w:tcBorders>
            <w:shd w:val="clear" w:color="000000" w:fill="D9D9D9"/>
            <w:noWrap/>
            <w:vAlign w:val="center"/>
            <w:hideMark/>
          </w:tcPr>
          <w:p w14:paraId="028232A8"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nil"/>
              <w:left w:val="nil"/>
              <w:bottom w:val="single" w:sz="8" w:space="0" w:color="auto"/>
              <w:right w:val="single" w:sz="4" w:space="0" w:color="auto"/>
            </w:tcBorders>
            <w:shd w:val="clear" w:color="000000" w:fill="92D050"/>
            <w:noWrap/>
            <w:vAlign w:val="center"/>
            <w:hideMark/>
          </w:tcPr>
          <w:p w14:paraId="57DE10A6"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8" w:space="0" w:color="auto"/>
              <w:right w:val="single" w:sz="4" w:space="0" w:color="auto"/>
            </w:tcBorders>
            <w:shd w:val="clear" w:color="000000" w:fill="00B0F0"/>
            <w:noWrap/>
            <w:vAlign w:val="center"/>
            <w:hideMark/>
          </w:tcPr>
          <w:p w14:paraId="7D31A44B"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8" w:space="0" w:color="auto"/>
              <w:right w:val="single" w:sz="4" w:space="0" w:color="auto"/>
            </w:tcBorders>
            <w:shd w:val="clear" w:color="000000" w:fill="C4BD97"/>
            <w:noWrap/>
            <w:vAlign w:val="center"/>
            <w:hideMark/>
          </w:tcPr>
          <w:p w14:paraId="7478C8FB"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8" w:space="0" w:color="auto"/>
              <w:right w:val="single" w:sz="4" w:space="0" w:color="auto"/>
            </w:tcBorders>
            <w:shd w:val="clear" w:color="000000" w:fill="E6B8B7"/>
            <w:noWrap/>
            <w:vAlign w:val="center"/>
            <w:hideMark/>
          </w:tcPr>
          <w:p w14:paraId="58C32936"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center"/>
            <w:hideMark/>
          </w:tcPr>
          <w:p w14:paraId="5210E956"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r>
      <w:tr w:rsidR="00F126EF" w:rsidRPr="007C266E" w14:paraId="14A565EB" w14:textId="77777777" w:rsidTr="005D4186">
        <w:trPr>
          <w:trHeight w:val="25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FC8C30"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OP9</w:t>
            </w:r>
          </w:p>
        </w:tc>
        <w:tc>
          <w:tcPr>
            <w:tcW w:w="1042" w:type="dxa"/>
            <w:tcBorders>
              <w:top w:val="nil"/>
              <w:left w:val="nil"/>
              <w:bottom w:val="single" w:sz="4" w:space="0" w:color="auto"/>
              <w:right w:val="single" w:sz="4" w:space="0" w:color="auto"/>
            </w:tcBorders>
            <w:shd w:val="clear" w:color="000000" w:fill="FABF8F"/>
            <w:noWrap/>
            <w:vAlign w:val="center"/>
            <w:hideMark/>
          </w:tcPr>
          <w:p w14:paraId="159AC70F"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42" w:type="dxa"/>
            <w:tcBorders>
              <w:top w:val="nil"/>
              <w:left w:val="nil"/>
              <w:bottom w:val="single" w:sz="4" w:space="0" w:color="auto"/>
              <w:right w:val="single" w:sz="4" w:space="0" w:color="auto"/>
            </w:tcBorders>
            <w:shd w:val="clear" w:color="000000" w:fill="8DB4E2"/>
            <w:noWrap/>
            <w:vAlign w:val="center"/>
            <w:hideMark/>
          </w:tcPr>
          <w:p w14:paraId="6DD35813"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nil"/>
              <w:left w:val="nil"/>
              <w:bottom w:val="single" w:sz="4" w:space="0" w:color="auto"/>
              <w:right w:val="single" w:sz="4" w:space="0" w:color="auto"/>
            </w:tcBorders>
            <w:shd w:val="clear" w:color="000000" w:fill="D9D9D9"/>
            <w:noWrap/>
            <w:vAlign w:val="center"/>
            <w:hideMark/>
          </w:tcPr>
          <w:p w14:paraId="5FE6B1A2"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140" w:type="dxa"/>
            <w:tcBorders>
              <w:top w:val="nil"/>
              <w:left w:val="nil"/>
              <w:bottom w:val="single" w:sz="4" w:space="0" w:color="auto"/>
              <w:right w:val="single" w:sz="4" w:space="0" w:color="auto"/>
            </w:tcBorders>
            <w:shd w:val="clear" w:color="000000" w:fill="92D050"/>
            <w:noWrap/>
            <w:vAlign w:val="center"/>
            <w:hideMark/>
          </w:tcPr>
          <w:p w14:paraId="303980E0"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42" w:type="dxa"/>
            <w:tcBorders>
              <w:top w:val="nil"/>
              <w:left w:val="nil"/>
              <w:bottom w:val="single" w:sz="4" w:space="0" w:color="auto"/>
              <w:right w:val="single" w:sz="4" w:space="0" w:color="auto"/>
            </w:tcBorders>
            <w:shd w:val="clear" w:color="000000" w:fill="00B0F0"/>
            <w:noWrap/>
            <w:vAlign w:val="center"/>
            <w:hideMark/>
          </w:tcPr>
          <w:p w14:paraId="2911CFDE"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4" w:space="0" w:color="auto"/>
              <w:right w:val="single" w:sz="4" w:space="0" w:color="auto"/>
            </w:tcBorders>
            <w:shd w:val="clear" w:color="000000" w:fill="C4BD97"/>
            <w:noWrap/>
            <w:vAlign w:val="center"/>
            <w:hideMark/>
          </w:tcPr>
          <w:p w14:paraId="2B603DDC"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4" w:space="0" w:color="auto"/>
              <w:right w:val="single" w:sz="4" w:space="0" w:color="auto"/>
            </w:tcBorders>
            <w:shd w:val="clear" w:color="000000" w:fill="E6B8B7"/>
            <w:noWrap/>
            <w:vAlign w:val="center"/>
            <w:hideMark/>
          </w:tcPr>
          <w:p w14:paraId="2631DBF8"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bottom"/>
            <w:hideMark/>
          </w:tcPr>
          <w:p w14:paraId="61D071AA"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26AFD076" w14:textId="77777777" w:rsidTr="005D4186">
        <w:trPr>
          <w:trHeight w:val="2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843B613"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OP10</w:t>
            </w:r>
          </w:p>
        </w:tc>
        <w:tc>
          <w:tcPr>
            <w:tcW w:w="1042" w:type="dxa"/>
            <w:tcBorders>
              <w:top w:val="nil"/>
              <w:left w:val="nil"/>
              <w:bottom w:val="single" w:sz="4" w:space="0" w:color="auto"/>
              <w:right w:val="single" w:sz="4" w:space="0" w:color="auto"/>
            </w:tcBorders>
            <w:shd w:val="clear" w:color="000000" w:fill="FABF8F"/>
            <w:noWrap/>
            <w:vAlign w:val="center"/>
            <w:hideMark/>
          </w:tcPr>
          <w:p w14:paraId="48ACB83D"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8DB4E2"/>
            <w:noWrap/>
            <w:vAlign w:val="center"/>
            <w:hideMark/>
          </w:tcPr>
          <w:p w14:paraId="2524E4FD"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nil"/>
              <w:left w:val="nil"/>
              <w:bottom w:val="single" w:sz="4" w:space="0" w:color="auto"/>
              <w:right w:val="single" w:sz="4" w:space="0" w:color="auto"/>
            </w:tcBorders>
            <w:shd w:val="clear" w:color="000000" w:fill="D9D9D9"/>
            <w:noWrap/>
            <w:vAlign w:val="center"/>
            <w:hideMark/>
          </w:tcPr>
          <w:p w14:paraId="137175CF"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140" w:type="dxa"/>
            <w:tcBorders>
              <w:top w:val="nil"/>
              <w:left w:val="nil"/>
              <w:bottom w:val="single" w:sz="4" w:space="0" w:color="auto"/>
              <w:right w:val="single" w:sz="4" w:space="0" w:color="auto"/>
            </w:tcBorders>
            <w:shd w:val="clear" w:color="000000" w:fill="92D050"/>
            <w:noWrap/>
            <w:vAlign w:val="center"/>
            <w:hideMark/>
          </w:tcPr>
          <w:p w14:paraId="02C14D03"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42" w:type="dxa"/>
            <w:tcBorders>
              <w:top w:val="nil"/>
              <w:left w:val="nil"/>
              <w:bottom w:val="single" w:sz="4" w:space="0" w:color="auto"/>
              <w:right w:val="single" w:sz="4" w:space="0" w:color="auto"/>
            </w:tcBorders>
            <w:shd w:val="clear" w:color="000000" w:fill="00B0F0"/>
            <w:noWrap/>
            <w:vAlign w:val="center"/>
            <w:hideMark/>
          </w:tcPr>
          <w:p w14:paraId="4CB41227"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4" w:space="0" w:color="auto"/>
              <w:right w:val="single" w:sz="4" w:space="0" w:color="auto"/>
            </w:tcBorders>
            <w:shd w:val="clear" w:color="000000" w:fill="C4BD97"/>
            <w:noWrap/>
            <w:vAlign w:val="center"/>
            <w:hideMark/>
          </w:tcPr>
          <w:p w14:paraId="33294680"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430" w:type="dxa"/>
            <w:tcBorders>
              <w:top w:val="nil"/>
              <w:left w:val="nil"/>
              <w:bottom w:val="single" w:sz="4" w:space="0" w:color="auto"/>
              <w:right w:val="single" w:sz="4" w:space="0" w:color="auto"/>
            </w:tcBorders>
            <w:shd w:val="clear" w:color="000000" w:fill="E6B8B7"/>
            <w:noWrap/>
            <w:vAlign w:val="center"/>
            <w:hideMark/>
          </w:tcPr>
          <w:p w14:paraId="51826F4C"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bottom"/>
            <w:hideMark/>
          </w:tcPr>
          <w:p w14:paraId="13F48570"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304EA3AB" w14:textId="77777777" w:rsidTr="005D4186">
        <w:trPr>
          <w:trHeight w:val="2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1DD103D"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OP11</w:t>
            </w:r>
          </w:p>
        </w:tc>
        <w:tc>
          <w:tcPr>
            <w:tcW w:w="1042" w:type="dxa"/>
            <w:tcBorders>
              <w:top w:val="nil"/>
              <w:left w:val="nil"/>
              <w:bottom w:val="single" w:sz="4" w:space="0" w:color="auto"/>
              <w:right w:val="single" w:sz="4" w:space="0" w:color="auto"/>
            </w:tcBorders>
            <w:shd w:val="clear" w:color="000000" w:fill="FABF8F"/>
            <w:noWrap/>
            <w:vAlign w:val="center"/>
            <w:hideMark/>
          </w:tcPr>
          <w:p w14:paraId="58C4D80A"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8DB4E2"/>
            <w:noWrap/>
            <w:vAlign w:val="center"/>
            <w:hideMark/>
          </w:tcPr>
          <w:p w14:paraId="12A0D658"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nil"/>
              <w:left w:val="nil"/>
              <w:bottom w:val="single" w:sz="4" w:space="0" w:color="auto"/>
              <w:right w:val="single" w:sz="4" w:space="0" w:color="auto"/>
            </w:tcBorders>
            <w:shd w:val="clear" w:color="000000" w:fill="D9D9D9"/>
            <w:noWrap/>
            <w:vAlign w:val="center"/>
            <w:hideMark/>
          </w:tcPr>
          <w:p w14:paraId="3F4BB839"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140" w:type="dxa"/>
            <w:tcBorders>
              <w:top w:val="nil"/>
              <w:left w:val="nil"/>
              <w:bottom w:val="single" w:sz="4" w:space="0" w:color="auto"/>
              <w:right w:val="single" w:sz="4" w:space="0" w:color="auto"/>
            </w:tcBorders>
            <w:shd w:val="clear" w:color="000000" w:fill="92D050"/>
            <w:noWrap/>
            <w:vAlign w:val="center"/>
            <w:hideMark/>
          </w:tcPr>
          <w:p w14:paraId="56E73CC5"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00B0F0"/>
            <w:noWrap/>
            <w:vAlign w:val="center"/>
            <w:hideMark/>
          </w:tcPr>
          <w:p w14:paraId="00133826"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4" w:space="0" w:color="auto"/>
              <w:right w:val="single" w:sz="4" w:space="0" w:color="auto"/>
            </w:tcBorders>
            <w:shd w:val="clear" w:color="000000" w:fill="C4BD97"/>
            <w:noWrap/>
            <w:vAlign w:val="center"/>
            <w:hideMark/>
          </w:tcPr>
          <w:p w14:paraId="7C5DB077"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430" w:type="dxa"/>
            <w:tcBorders>
              <w:top w:val="nil"/>
              <w:left w:val="nil"/>
              <w:bottom w:val="single" w:sz="4" w:space="0" w:color="auto"/>
              <w:right w:val="single" w:sz="4" w:space="0" w:color="auto"/>
            </w:tcBorders>
            <w:shd w:val="clear" w:color="000000" w:fill="E6B8B7"/>
            <w:noWrap/>
            <w:vAlign w:val="center"/>
            <w:hideMark/>
          </w:tcPr>
          <w:p w14:paraId="3147BAF2"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bottom"/>
            <w:hideMark/>
          </w:tcPr>
          <w:p w14:paraId="27DBA4D1"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7FBDFD24" w14:textId="77777777" w:rsidTr="005D4186">
        <w:trPr>
          <w:trHeight w:val="2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3E9A45F"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OP12</w:t>
            </w:r>
          </w:p>
        </w:tc>
        <w:tc>
          <w:tcPr>
            <w:tcW w:w="1042" w:type="dxa"/>
            <w:tcBorders>
              <w:top w:val="nil"/>
              <w:left w:val="nil"/>
              <w:bottom w:val="single" w:sz="4" w:space="0" w:color="auto"/>
              <w:right w:val="single" w:sz="4" w:space="0" w:color="auto"/>
            </w:tcBorders>
            <w:shd w:val="clear" w:color="000000" w:fill="FABF8F"/>
            <w:noWrap/>
            <w:vAlign w:val="center"/>
            <w:hideMark/>
          </w:tcPr>
          <w:p w14:paraId="4553B4C4"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8DB4E2"/>
            <w:noWrap/>
            <w:vAlign w:val="center"/>
            <w:hideMark/>
          </w:tcPr>
          <w:p w14:paraId="374A9E64"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nil"/>
              <w:left w:val="nil"/>
              <w:bottom w:val="single" w:sz="4" w:space="0" w:color="auto"/>
              <w:right w:val="single" w:sz="4" w:space="0" w:color="auto"/>
            </w:tcBorders>
            <w:shd w:val="clear" w:color="000000" w:fill="D9D9D9"/>
            <w:noWrap/>
            <w:vAlign w:val="center"/>
            <w:hideMark/>
          </w:tcPr>
          <w:p w14:paraId="44AB3E57"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140" w:type="dxa"/>
            <w:tcBorders>
              <w:top w:val="nil"/>
              <w:left w:val="nil"/>
              <w:bottom w:val="single" w:sz="4" w:space="0" w:color="auto"/>
              <w:right w:val="single" w:sz="4" w:space="0" w:color="auto"/>
            </w:tcBorders>
            <w:shd w:val="clear" w:color="000000" w:fill="92D050"/>
            <w:noWrap/>
            <w:vAlign w:val="center"/>
            <w:hideMark/>
          </w:tcPr>
          <w:p w14:paraId="78836B8A"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00B0F0"/>
            <w:noWrap/>
            <w:vAlign w:val="center"/>
            <w:hideMark/>
          </w:tcPr>
          <w:p w14:paraId="64C18876"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4" w:space="0" w:color="auto"/>
              <w:right w:val="single" w:sz="4" w:space="0" w:color="auto"/>
            </w:tcBorders>
            <w:shd w:val="clear" w:color="000000" w:fill="C4BD97"/>
            <w:noWrap/>
            <w:vAlign w:val="center"/>
            <w:hideMark/>
          </w:tcPr>
          <w:p w14:paraId="6F9D1678"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430" w:type="dxa"/>
            <w:tcBorders>
              <w:top w:val="nil"/>
              <w:left w:val="nil"/>
              <w:bottom w:val="single" w:sz="4" w:space="0" w:color="auto"/>
              <w:right w:val="single" w:sz="4" w:space="0" w:color="auto"/>
            </w:tcBorders>
            <w:shd w:val="clear" w:color="000000" w:fill="E6B8B7"/>
            <w:noWrap/>
            <w:vAlign w:val="center"/>
            <w:hideMark/>
          </w:tcPr>
          <w:p w14:paraId="7873E03E"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906" w:type="dxa"/>
            <w:tcBorders>
              <w:top w:val="nil"/>
              <w:left w:val="nil"/>
              <w:bottom w:val="single" w:sz="4" w:space="0" w:color="auto"/>
              <w:right w:val="single" w:sz="4" w:space="0" w:color="auto"/>
            </w:tcBorders>
            <w:shd w:val="clear" w:color="000000" w:fill="DAEEF3"/>
            <w:noWrap/>
            <w:vAlign w:val="bottom"/>
            <w:hideMark/>
          </w:tcPr>
          <w:p w14:paraId="106EA509"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7C95D9A7" w14:textId="77777777" w:rsidTr="005D4186">
        <w:trPr>
          <w:trHeight w:val="2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A55B18"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OP13</w:t>
            </w:r>
          </w:p>
        </w:tc>
        <w:tc>
          <w:tcPr>
            <w:tcW w:w="1042" w:type="dxa"/>
            <w:tcBorders>
              <w:top w:val="nil"/>
              <w:left w:val="nil"/>
              <w:bottom w:val="single" w:sz="4" w:space="0" w:color="auto"/>
              <w:right w:val="single" w:sz="4" w:space="0" w:color="auto"/>
            </w:tcBorders>
            <w:shd w:val="clear" w:color="000000" w:fill="FABF8F"/>
            <w:noWrap/>
            <w:vAlign w:val="center"/>
            <w:hideMark/>
          </w:tcPr>
          <w:p w14:paraId="00A47BDE"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8DB4E2"/>
            <w:noWrap/>
            <w:vAlign w:val="center"/>
            <w:hideMark/>
          </w:tcPr>
          <w:p w14:paraId="4130A673"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nil"/>
              <w:left w:val="nil"/>
              <w:bottom w:val="single" w:sz="4" w:space="0" w:color="auto"/>
              <w:right w:val="single" w:sz="4" w:space="0" w:color="auto"/>
            </w:tcBorders>
            <w:shd w:val="clear" w:color="000000" w:fill="D9D9D9"/>
            <w:noWrap/>
            <w:vAlign w:val="center"/>
            <w:hideMark/>
          </w:tcPr>
          <w:p w14:paraId="026E6977"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140" w:type="dxa"/>
            <w:tcBorders>
              <w:top w:val="nil"/>
              <w:left w:val="nil"/>
              <w:bottom w:val="single" w:sz="4" w:space="0" w:color="auto"/>
              <w:right w:val="single" w:sz="4" w:space="0" w:color="auto"/>
            </w:tcBorders>
            <w:shd w:val="clear" w:color="000000" w:fill="92D050"/>
            <w:noWrap/>
            <w:vAlign w:val="center"/>
            <w:hideMark/>
          </w:tcPr>
          <w:p w14:paraId="60D0B772"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00B0F0"/>
            <w:noWrap/>
            <w:vAlign w:val="center"/>
            <w:hideMark/>
          </w:tcPr>
          <w:p w14:paraId="421A799E"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99" w:type="dxa"/>
            <w:tcBorders>
              <w:top w:val="nil"/>
              <w:left w:val="nil"/>
              <w:bottom w:val="single" w:sz="4" w:space="0" w:color="auto"/>
              <w:right w:val="single" w:sz="4" w:space="0" w:color="auto"/>
            </w:tcBorders>
            <w:shd w:val="clear" w:color="000000" w:fill="C4BD97"/>
            <w:noWrap/>
            <w:vAlign w:val="center"/>
            <w:hideMark/>
          </w:tcPr>
          <w:p w14:paraId="0CB86DC8"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4" w:space="0" w:color="auto"/>
              <w:right w:val="single" w:sz="4" w:space="0" w:color="auto"/>
            </w:tcBorders>
            <w:shd w:val="clear" w:color="000000" w:fill="E6B8B7"/>
            <w:noWrap/>
            <w:vAlign w:val="center"/>
            <w:hideMark/>
          </w:tcPr>
          <w:p w14:paraId="1A583ACB"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bottom"/>
            <w:hideMark/>
          </w:tcPr>
          <w:p w14:paraId="45D44CDF"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12DF0C4F" w14:textId="77777777" w:rsidTr="005D4186">
        <w:trPr>
          <w:trHeight w:val="260"/>
        </w:trPr>
        <w:tc>
          <w:tcPr>
            <w:tcW w:w="616" w:type="dxa"/>
            <w:tcBorders>
              <w:top w:val="nil"/>
              <w:left w:val="single" w:sz="4" w:space="0" w:color="auto"/>
              <w:bottom w:val="single" w:sz="8" w:space="0" w:color="auto"/>
              <w:right w:val="single" w:sz="4" w:space="0" w:color="auto"/>
            </w:tcBorders>
            <w:shd w:val="clear" w:color="auto" w:fill="auto"/>
            <w:noWrap/>
            <w:vAlign w:val="center"/>
            <w:hideMark/>
          </w:tcPr>
          <w:p w14:paraId="1BCBE949"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OP14</w:t>
            </w:r>
          </w:p>
        </w:tc>
        <w:tc>
          <w:tcPr>
            <w:tcW w:w="1042" w:type="dxa"/>
            <w:tcBorders>
              <w:top w:val="nil"/>
              <w:left w:val="nil"/>
              <w:bottom w:val="single" w:sz="8" w:space="0" w:color="auto"/>
              <w:right w:val="single" w:sz="4" w:space="0" w:color="auto"/>
            </w:tcBorders>
            <w:shd w:val="clear" w:color="000000" w:fill="FABF8F"/>
            <w:noWrap/>
            <w:vAlign w:val="center"/>
            <w:hideMark/>
          </w:tcPr>
          <w:p w14:paraId="78C154AE"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8" w:space="0" w:color="auto"/>
              <w:right w:val="single" w:sz="4" w:space="0" w:color="auto"/>
            </w:tcBorders>
            <w:shd w:val="clear" w:color="000000" w:fill="8DB4E2"/>
            <w:noWrap/>
            <w:vAlign w:val="center"/>
            <w:hideMark/>
          </w:tcPr>
          <w:p w14:paraId="2BDA9C23"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nil"/>
              <w:left w:val="nil"/>
              <w:bottom w:val="single" w:sz="8" w:space="0" w:color="auto"/>
              <w:right w:val="single" w:sz="4" w:space="0" w:color="auto"/>
            </w:tcBorders>
            <w:shd w:val="clear" w:color="000000" w:fill="D9D9D9"/>
            <w:noWrap/>
            <w:vAlign w:val="center"/>
            <w:hideMark/>
          </w:tcPr>
          <w:p w14:paraId="7CA4A72E"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140" w:type="dxa"/>
            <w:tcBorders>
              <w:top w:val="nil"/>
              <w:left w:val="nil"/>
              <w:bottom w:val="single" w:sz="8" w:space="0" w:color="auto"/>
              <w:right w:val="single" w:sz="4" w:space="0" w:color="auto"/>
            </w:tcBorders>
            <w:shd w:val="clear" w:color="000000" w:fill="92D050"/>
            <w:noWrap/>
            <w:vAlign w:val="center"/>
            <w:hideMark/>
          </w:tcPr>
          <w:p w14:paraId="53AE7FF4"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8" w:space="0" w:color="auto"/>
              <w:right w:val="single" w:sz="4" w:space="0" w:color="auto"/>
            </w:tcBorders>
            <w:shd w:val="clear" w:color="000000" w:fill="00B0F0"/>
            <w:noWrap/>
            <w:vAlign w:val="center"/>
            <w:hideMark/>
          </w:tcPr>
          <w:p w14:paraId="686F9160"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8" w:space="0" w:color="auto"/>
              <w:right w:val="single" w:sz="4" w:space="0" w:color="auto"/>
            </w:tcBorders>
            <w:shd w:val="clear" w:color="000000" w:fill="C4BD97"/>
            <w:noWrap/>
            <w:vAlign w:val="center"/>
            <w:hideMark/>
          </w:tcPr>
          <w:p w14:paraId="1B28F2A2"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8" w:space="0" w:color="auto"/>
              <w:right w:val="single" w:sz="4" w:space="0" w:color="auto"/>
            </w:tcBorders>
            <w:shd w:val="clear" w:color="000000" w:fill="E6B8B7"/>
            <w:noWrap/>
            <w:vAlign w:val="center"/>
            <w:hideMark/>
          </w:tcPr>
          <w:p w14:paraId="0CF0F3C4"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center"/>
            <w:hideMark/>
          </w:tcPr>
          <w:p w14:paraId="12C4618D"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r>
      <w:tr w:rsidR="00F126EF" w:rsidRPr="007C266E" w14:paraId="48C56DF6" w14:textId="77777777" w:rsidTr="005D4186">
        <w:trPr>
          <w:trHeight w:val="25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E7DB04"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w:t>
            </w:r>
            <w:r w:rsidRPr="007C266E">
              <w:rPr>
                <w:rFonts w:ascii="Times New Roman" w:eastAsia="Times New Roman" w:hAnsi="Times New Roman" w:cs="Times New Roman"/>
                <w:b/>
                <w:bCs/>
                <w:color w:val="000000"/>
                <w:sz w:val="23"/>
                <w:szCs w:val="23"/>
                <w:lang w:val="ro-RO"/>
              </w:rPr>
              <w:lastRenderedPageBreak/>
              <w:t>15</w:t>
            </w:r>
          </w:p>
        </w:tc>
        <w:tc>
          <w:tcPr>
            <w:tcW w:w="1042" w:type="dxa"/>
            <w:tcBorders>
              <w:top w:val="nil"/>
              <w:left w:val="nil"/>
              <w:bottom w:val="single" w:sz="4" w:space="0" w:color="auto"/>
              <w:right w:val="single" w:sz="4" w:space="0" w:color="auto"/>
            </w:tcBorders>
            <w:shd w:val="clear" w:color="000000" w:fill="FABF8F"/>
            <w:noWrap/>
            <w:vAlign w:val="center"/>
            <w:hideMark/>
          </w:tcPr>
          <w:p w14:paraId="06C9D14B"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lastRenderedPageBreak/>
              <w:t> </w:t>
            </w:r>
          </w:p>
        </w:tc>
        <w:tc>
          <w:tcPr>
            <w:tcW w:w="1042" w:type="dxa"/>
            <w:tcBorders>
              <w:top w:val="nil"/>
              <w:left w:val="nil"/>
              <w:bottom w:val="single" w:sz="4" w:space="0" w:color="auto"/>
              <w:right w:val="single" w:sz="4" w:space="0" w:color="auto"/>
            </w:tcBorders>
            <w:shd w:val="clear" w:color="000000" w:fill="8DB4E2"/>
            <w:noWrap/>
            <w:vAlign w:val="center"/>
            <w:hideMark/>
          </w:tcPr>
          <w:p w14:paraId="076EDD80"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nil"/>
              <w:left w:val="nil"/>
              <w:bottom w:val="single" w:sz="4" w:space="0" w:color="auto"/>
              <w:right w:val="single" w:sz="4" w:space="0" w:color="auto"/>
            </w:tcBorders>
            <w:shd w:val="clear" w:color="000000" w:fill="D9D9D9"/>
            <w:noWrap/>
            <w:vAlign w:val="center"/>
            <w:hideMark/>
          </w:tcPr>
          <w:p w14:paraId="43343444"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nil"/>
              <w:left w:val="nil"/>
              <w:bottom w:val="single" w:sz="4" w:space="0" w:color="auto"/>
              <w:right w:val="single" w:sz="4" w:space="0" w:color="auto"/>
            </w:tcBorders>
            <w:shd w:val="clear" w:color="000000" w:fill="92D050"/>
            <w:noWrap/>
            <w:vAlign w:val="center"/>
            <w:hideMark/>
          </w:tcPr>
          <w:p w14:paraId="44C5FA75"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42" w:type="dxa"/>
            <w:tcBorders>
              <w:top w:val="nil"/>
              <w:left w:val="nil"/>
              <w:bottom w:val="single" w:sz="4" w:space="0" w:color="auto"/>
              <w:right w:val="single" w:sz="4" w:space="0" w:color="auto"/>
            </w:tcBorders>
            <w:shd w:val="clear" w:color="000000" w:fill="00B0F0"/>
            <w:noWrap/>
            <w:vAlign w:val="center"/>
            <w:hideMark/>
          </w:tcPr>
          <w:p w14:paraId="7A26279A"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4" w:space="0" w:color="auto"/>
              <w:right w:val="single" w:sz="4" w:space="0" w:color="auto"/>
            </w:tcBorders>
            <w:shd w:val="clear" w:color="000000" w:fill="C4BD97"/>
            <w:noWrap/>
            <w:vAlign w:val="center"/>
            <w:hideMark/>
          </w:tcPr>
          <w:p w14:paraId="24CA3BA1"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4" w:space="0" w:color="auto"/>
              <w:right w:val="single" w:sz="4" w:space="0" w:color="auto"/>
            </w:tcBorders>
            <w:shd w:val="clear" w:color="000000" w:fill="E6B8B7"/>
            <w:noWrap/>
            <w:vAlign w:val="center"/>
            <w:hideMark/>
          </w:tcPr>
          <w:p w14:paraId="7D5E4C8D"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center"/>
            <w:hideMark/>
          </w:tcPr>
          <w:p w14:paraId="25ABBEDA"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r>
      <w:tr w:rsidR="00F126EF" w:rsidRPr="007C266E" w14:paraId="4B2AD604" w14:textId="77777777" w:rsidTr="005D4186">
        <w:trPr>
          <w:trHeight w:val="2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9185C1E"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lastRenderedPageBreak/>
              <w:t>OP16</w:t>
            </w:r>
          </w:p>
        </w:tc>
        <w:tc>
          <w:tcPr>
            <w:tcW w:w="1042" w:type="dxa"/>
            <w:tcBorders>
              <w:top w:val="nil"/>
              <w:left w:val="nil"/>
              <w:bottom w:val="single" w:sz="4" w:space="0" w:color="auto"/>
              <w:right w:val="single" w:sz="4" w:space="0" w:color="auto"/>
            </w:tcBorders>
            <w:shd w:val="clear" w:color="000000" w:fill="FABF8F"/>
            <w:noWrap/>
            <w:vAlign w:val="center"/>
            <w:hideMark/>
          </w:tcPr>
          <w:p w14:paraId="1692DE5E"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8DB4E2"/>
            <w:noWrap/>
            <w:vAlign w:val="center"/>
            <w:hideMark/>
          </w:tcPr>
          <w:p w14:paraId="1B696C1B"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nil"/>
              <w:left w:val="nil"/>
              <w:bottom w:val="single" w:sz="4" w:space="0" w:color="auto"/>
              <w:right w:val="single" w:sz="4" w:space="0" w:color="auto"/>
            </w:tcBorders>
            <w:shd w:val="clear" w:color="000000" w:fill="D9D9D9"/>
            <w:noWrap/>
            <w:vAlign w:val="center"/>
            <w:hideMark/>
          </w:tcPr>
          <w:p w14:paraId="366504E0"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nil"/>
              <w:left w:val="nil"/>
              <w:bottom w:val="single" w:sz="4" w:space="0" w:color="auto"/>
              <w:right w:val="single" w:sz="4" w:space="0" w:color="auto"/>
            </w:tcBorders>
            <w:shd w:val="clear" w:color="000000" w:fill="92D050"/>
            <w:noWrap/>
            <w:vAlign w:val="center"/>
            <w:hideMark/>
          </w:tcPr>
          <w:p w14:paraId="5C78E0A3"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42" w:type="dxa"/>
            <w:tcBorders>
              <w:top w:val="nil"/>
              <w:left w:val="nil"/>
              <w:bottom w:val="single" w:sz="4" w:space="0" w:color="auto"/>
              <w:right w:val="single" w:sz="4" w:space="0" w:color="auto"/>
            </w:tcBorders>
            <w:shd w:val="clear" w:color="000000" w:fill="00B0F0"/>
            <w:noWrap/>
            <w:vAlign w:val="center"/>
            <w:hideMark/>
          </w:tcPr>
          <w:p w14:paraId="244EB032"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4" w:space="0" w:color="auto"/>
              <w:right w:val="single" w:sz="4" w:space="0" w:color="auto"/>
            </w:tcBorders>
            <w:shd w:val="clear" w:color="000000" w:fill="C4BD97"/>
            <w:noWrap/>
            <w:vAlign w:val="center"/>
            <w:hideMark/>
          </w:tcPr>
          <w:p w14:paraId="79CA45FA"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4" w:space="0" w:color="auto"/>
              <w:right w:val="single" w:sz="4" w:space="0" w:color="auto"/>
            </w:tcBorders>
            <w:shd w:val="clear" w:color="000000" w:fill="E6B8B7"/>
            <w:noWrap/>
            <w:vAlign w:val="center"/>
            <w:hideMark/>
          </w:tcPr>
          <w:p w14:paraId="5FEB8386"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bottom"/>
            <w:hideMark/>
          </w:tcPr>
          <w:p w14:paraId="6921A7AF"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5508873F" w14:textId="77777777" w:rsidTr="005D4186">
        <w:trPr>
          <w:trHeight w:val="260"/>
        </w:trPr>
        <w:tc>
          <w:tcPr>
            <w:tcW w:w="616" w:type="dxa"/>
            <w:tcBorders>
              <w:top w:val="nil"/>
              <w:left w:val="single" w:sz="4" w:space="0" w:color="auto"/>
              <w:bottom w:val="single" w:sz="8" w:space="0" w:color="auto"/>
              <w:right w:val="single" w:sz="4" w:space="0" w:color="auto"/>
            </w:tcBorders>
            <w:shd w:val="clear" w:color="auto" w:fill="auto"/>
            <w:noWrap/>
            <w:vAlign w:val="center"/>
            <w:hideMark/>
          </w:tcPr>
          <w:p w14:paraId="45613171"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OP17</w:t>
            </w:r>
          </w:p>
        </w:tc>
        <w:tc>
          <w:tcPr>
            <w:tcW w:w="1042" w:type="dxa"/>
            <w:tcBorders>
              <w:top w:val="nil"/>
              <w:left w:val="nil"/>
              <w:bottom w:val="single" w:sz="8" w:space="0" w:color="auto"/>
              <w:right w:val="single" w:sz="4" w:space="0" w:color="auto"/>
            </w:tcBorders>
            <w:shd w:val="clear" w:color="000000" w:fill="FABF8F"/>
            <w:noWrap/>
            <w:vAlign w:val="center"/>
            <w:hideMark/>
          </w:tcPr>
          <w:p w14:paraId="3CB29BA9"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8" w:space="0" w:color="auto"/>
              <w:right w:val="single" w:sz="4" w:space="0" w:color="auto"/>
            </w:tcBorders>
            <w:shd w:val="clear" w:color="000000" w:fill="8DB4E2"/>
            <w:noWrap/>
            <w:vAlign w:val="center"/>
            <w:hideMark/>
          </w:tcPr>
          <w:p w14:paraId="2B0A738B"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259" w:type="dxa"/>
            <w:tcBorders>
              <w:top w:val="nil"/>
              <w:left w:val="nil"/>
              <w:bottom w:val="single" w:sz="8" w:space="0" w:color="auto"/>
              <w:right w:val="single" w:sz="4" w:space="0" w:color="auto"/>
            </w:tcBorders>
            <w:shd w:val="clear" w:color="000000" w:fill="D9D9D9"/>
            <w:noWrap/>
            <w:vAlign w:val="center"/>
            <w:hideMark/>
          </w:tcPr>
          <w:p w14:paraId="4AFF6A78"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nil"/>
              <w:left w:val="nil"/>
              <w:bottom w:val="single" w:sz="8" w:space="0" w:color="auto"/>
              <w:right w:val="single" w:sz="4" w:space="0" w:color="auto"/>
            </w:tcBorders>
            <w:shd w:val="clear" w:color="000000" w:fill="92D050"/>
            <w:noWrap/>
            <w:vAlign w:val="center"/>
            <w:hideMark/>
          </w:tcPr>
          <w:p w14:paraId="43A468AB"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42" w:type="dxa"/>
            <w:tcBorders>
              <w:top w:val="nil"/>
              <w:left w:val="nil"/>
              <w:bottom w:val="single" w:sz="8" w:space="0" w:color="auto"/>
              <w:right w:val="single" w:sz="4" w:space="0" w:color="auto"/>
            </w:tcBorders>
            <w:shd w:val="clear" w:color="000000" w:fill="00B0F0"/>
            <w:noWrap/>
            <w:vAlign w:val="center"/>
            <w:hideMark/>
          </w:tcPr>
          <w:p w14:paraId="15503141"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nil"/>
              <w:left w:val="nil"/>
              <w:bottom w:val="single" w:sz="8" w:space="0" w:color="auto"/>
              <w:right w:val="single" w:sz="4" w:space="0" w:color="auto"/>
            </w:tcBorders>
            <w:shd w:val="clear" w:color="000000" w:fill="C4BD97"/>
            <w:noWrap/>
            <w:vAlign w:val="center"/>
            <w:hideMark/>
          </w:tcPr>
          <w:p w14:paraId="407E48E1"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8" w:space="0" w:color="auto"/>
              <w:right w:val="single" w:sz="4" w:space="0" w:color="auto"/>
            </w:tcBorders>
            <w:shd w:val="clear" w:color="000000" w:fill="E6B8B7"/>
            <w:noWrap/>
            <w:vAlign w:val="center"/>
            <w:hideMark/>
          </w:tcPr>
          <w:p w14:paraId="47BEB767"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8" w:space="0" w:color="auto"/>
              <w:right w:val="single" w:sz="4" w:space="0" w:color="auto"/>
            </w:tcBorders>
            <w:shd w:val="clear" w:color="000000" w:fill="DAEEF3"/>
            <w:noWrap/>
            <w:vAlign w:val="bottom"/>
            <w:hideMark/>
          </w:tcPr>
          <w:p w14:paraId="7A8ED82F"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228700C0" w14:textId="77777777" w:rsidTr="005D4186">
        <w:trPr>
          <w:trHeight w:val="25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339659C"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OP18</w:t>
            </w:r>
          </w:p>
        </w:tc>
        <w:tc>
          <w:tcPr>
            <w:tcW w:w="1042" w:type="dxa"/>
            <w:tcBorders>
              <w:top w:val="nil"/>
              <w:left w:val="nil"/>
              <w:bottom w:val="single" w:sz="4" w:space="0" w:color="auto"/>
              <w:right w:val="single" w:sz="4" w:space="0" w:color="auto"/>
            </w:tcBorders>
            <w:shd w:val="clear" w:color="000000" w:fill="FABF8F"/>
            <w:noWrap/>
            <w:vAlign w:val="center"/>
            <w:hideMark/>
          </w:tcPr>
          <w:p w14:paraId="0BFBF6D4"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8DB4E2"/>
            <w:noWrap/>
            <w:vAlign w:val="center"/>
            <w:hideMark/>
          </w:tcPr>
          <w:p w14:paraId="5C38DEBB"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nil"/>
              <w:left w:val="nil"/>
              <w:bottom w:val="single" w:sz="4" w:space="0" w:color="auto"/>
              <w:right w:val="single" w:sz="4" w:space="0" w:color="auto"/>
            </w:tcBorders>
            <w:shd w:val="clear" w:color="000000" w:fill="D9D9D9"/>
            <w:noWrap/>
            <w:vAlign w:val="center"/>
            <w:hideMark/>
          </w:tcPr>
          <w:p w14:paraId="0CC5A339"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nil"/>
              <w:left w:val="nil"/>
              <w:bottom w:val="single" w:sz="4" w:space="0" w:color="auto"/>
              <w:right w:val="single" w:sz="4" w:space="0" w:color="auto"/>
            </w:tcBorders>
            <w:shd w:val="clear" w:color="000000" w:fill="92D050"/>
            <w:noWrap/>
            <w:vAlign w:val="center"/>
            <w:hideMark/>
          </w:tcPr>
          <w:p w14:paraId="15137BC8"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00B0F0"/>
            <w:noWrap/>
            <w:vAlign w:val="center"/>
            <w:hideMark/>
          </w:tcPr>
          <w:p w14:paraId="2780525E"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99" w:type="dxa"/>
            <w:tcBorders>
              <w:top w:val="nil"/>
              <w:left w:val="nil"/>
              <w:bottom w:val="single" w:sz="4" w:space="0" w:color="auto"/>
              <w:right w:val="single" w:sz="4" w:space="0" w:color="auto"/>
            </w:tcBorders>
            <w:shd w:val="clear" w:color="000000" w:fill="C4BD97"/>
            <w:noWrap/>
            <w:vAlign w:val="center"/>
            <w:hideMark/>
          </w:tcPr>
          <w:p w14:paraId="00E4A829"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4" w:space="0" w:color="auto"/>
              <w:right w:val="single" w:sz="4" w:space="0" w:color="auto"/>
            </w:tcBorders>
            <w:shd w:val="clear" w:color="000000" w:fill="E6B8B7"/>
            <w:noWrap/>
            <w:vAlign w:val="center"/>
            <w:hideMark/>
          </w:tcPr>
          <w:p w14:paraId="5F13CF5C"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bottom"/>
            <w:hideMark/>
          </w:tcPr>
          <w:p w14:paraId="1606EB8B"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630DFC14" w14:textId="77777777" w:rsidTr="005D4186">
        <w:trPr>
          <w:trHeight w:val="2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03483A4"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OP19</w:t>
            </w:r>
          </w:p>
        </w:tc>
        <w:tc>
          <w:tcPr>
            <w:tcW w:w="1042" w:type="dxa"/>
            <w:tcBorders>
              <w:top w:val="nil"/>
              <w:left w:val="nil"/>
              <w:bottom w:val="single" w:sz="4" w:space="0" w:color="auto"/>
              <w:right w:val="single" w:sz="4" w:space="0" w:color="auto"/>
            </w:tcBorders>
            <w:shd w:val="clear" w:color="000000" w:fill="FABF8F"/>
            <w:noWrap/>
            <w:vAlign w:val="center"/>
            <w:hideMark/>
          </w:tcPr>
          <w:p w14:paraId="69AB05C3"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8DB4E2"/>
            <w:noWrap/>
            <w:vAlign w:val="center"/>
            <w:hideMark/>
          </w:tcPr>
          <w:p w14:paraId="61090C37"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nil"/>
              <w:left w:val="nil"/>
              <w:bottom w:val="single" w:sz="4" w:space="0" w:color="auto"/>
              <w:right w:val="single" w:sz="4" w:space="0" w:color="auto"/>
            </w:tcBorders>
            <w:shd w:val="clear" w:color="000000" w:fill="D9D9D9"/>
            <w:noWrap/>
            <w:vAlign w:val="center"/>
            <w:hideMark/>
          </w:tcPr>
          <w:p w14:paraId="332675EB"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140" w:type="dxa"/>
            <w:tcBorders>
              <w:top w:val="nil"/>
              <w:left w:val="nil"/>
              <w:bottom w:val="single" w:sz="4" w:space="0" w:color="auto"/>
              <w:right w:val="single" w:sz="4" w:space="0" w:color="auto"/>
            </w:tcBorders>
            <w:shd w:val="clear" w:color="000000" w:fill="92D050"/>
            <w:noWrap/>
            <w:vAlign w:val="center"/>
            <w:hideMark/>
          </w:tcPr>
          <w:p w14:paraId="65868D56"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00B0F0"/>
            <w:noWrap/>
            <w:vAlign w:val="center"/>
            <w:hideMark/>
          </w:tcPr>
          <w:p w14:paraId="75E91BB1"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99" w:type="dxa"/>
            <w:tcBorders>
              <w:top w:val="nil"/>
              <w:left w:val="nil"/>
              <w:bottom w:val="single" w:sz="4" w:space="0" w:color="auto"/>
              <w:right w:val="single" w:sz="4" w:space="0" w:color="auto"/>
            </w:tcBorders>
            <w:shd w:val="clear" w:color="000000" w:fill="C4BD97"/>
            <w:noWrap/>
            <w:vAlign w:val="center"/>
            <w:hideMark/>
          </w:tcPr>
          <w:p w14:paraId="0AD85462"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430" w:type="dxa"/>
            <w:tcBorders>
              <w:top w:val="nil"/>
              <w:left w:val="nil"/>
              <w:bottom w:val="single" w:sz="4" w:space="0" w:color="auto"/>
              <w:right w:val="single" w:sz="4" w:space="0" w:color="auto"/>
            </w:tcBorders>
            <w:shd w:val="clear" w:color="000000" w:fill="E6B8B7"/>
            <w:noWrap/>
            <w:vAlign w:val="center"/>
            <w:hideMark/>
          </w:tcPr>
          <w:p w14:paraId="2829E97A"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bottom"/>
            <w:hideMark/>
          </w:tcPr>
          <w:p w14:paraId="6AEEB7CC"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68100B86" w14:textId="77777777" w:rsidTr="005D4186">
        <w:trPr>
          <w:trHeight w:val="2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8C658E"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OP20</w:t>
            </w:r>
          </w:p>
        </w:tc>
        <w:tc>
          <w:tcPr>
            <w:tcW w:w="1042" w:type="dxa"/>
            <w:tcBorders>
              <w:top w:val="nil"/>
              <w:left w:val="nil"/>
              <w:bottom w:val="single" w:sz="4" w:space="0" w:color="auto"/>
              <w:right w:val="single" w:sz="4" w:space="0" w:color="auto"/>
            </w:tcBorders>
            <w:shd w:val="clear" w:color="000000" w:fill="FABF8F"/>
            <w:noWrap/>
            <w:vAlign w:val="center"/>
            <w:hideMark/>
          </w:tcPr>
          <w:p w14:paraId="6720CDB4"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8DB4E2"/>
            <w:noWrap/>
            <w:vAlign w:val="center"/>
            <w:hideMark/>
          </w:tcPr>
          <w:p w14:paraId="7080596A"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nil"/>
              <w:left w:val="nil"/>
              <w:bottom w:val="single" w:sz="4" w:space="0" w:color="auto"/>
              <w:right w:val="single" w:sz="4" w:space="0" w:color="auto"/>
            </w:tcBorders>
            <w:shd w:val="clear" w:color="000000" w:fill="D9D9D9"/>
            <w:noWrap/>
            <w:vAlign w:val="center"/>
            <w:hideMark/>
          </w:tcPr>
          <w:p w14:paraId="06F32E59"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nil"/>
              <w:left w:val="nil"/>
              <w:bottom w:val="single" w:sz="4" w:space="0" w:color="auto"/>
              <w:right w:val="single" w:sz="4" w:space="0" w:color="auto"/>
            </w:tcBorders>
            <w:shd w:val="clear" w:color="000000" w:fill="92D050"/>
            <w:noWrap/>
            <w:vAlign w:val="center"/>
            <w:hideMark/>
          </w:tcPr>
          <w:p w14:paraId="3A45C31B"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00B0F0"/>
            <w:noWrap/>
            <w:vAlign w:val="center"/>
            <w:hideMark/>
          </w:tcPr>
          <w:p w14:paraId="215AB42F"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99" w:type="dxa"/>
            <w:tcBorders>
              <w:top w:val="nil"/>
              <w:left w:val="nil"/>
              <w:bottom w:val="single" w:sz="4" w:space="0" w:color="auto"/>
              <w:right w:val="single" w:sz="4" w:space="0" w:color="auto"/>
            </w:tcBorders>
            <w:shd w:val="clear" w:color="000000" w:fill="C4BD97"/>
            <w:noWrap/>
            <w:vAlign w:val="center"/>
            <w:hideMark/>
          </w:tcPr>
          <w:p w14:paraId="2FBF2C97"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4" w:space="0" w:color="auto"/>
              <w:right w:val="single" w:sz="4" w:space="0" w:color="auto"/>
            </w:tcBorders>
            <w:shd w:val="clear" w:color="000000" w:fill="E6B8B7"/>
            <w:noWrap/>
            <w:vAlign w:val="center"/>
            <w:hideMark/>
          </w:tcPr>
          <w:p w14:paraId="541E7B90"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center"/>
            <w:hideMark/>
          </w:tcPr>
          <w:p w14:paraId="307733EE"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r>
      <w:tr w:rsidR="00F126EF" w:rsidRPr="007C266E" w14:paraId="7C440F82" w14:textId="77777777" w:rsidTr="004477EF">
        <w:trPr>
          <w:trHeight w:val="2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A96FA42"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OP21</w:t>
            </w:r>
          </w:p>
        </w:tc>
        <w:tc>
          <w:tcPr>
            <w:tcW w:w="1042" w:type="dxa"/>
            <w:tcBorders>
              <w:top w:val="nil"/>
              <w:left w:val="nil"/>
              <w:bottom w:val="single" w:sz="4" w:space="0" w:color="auto"/>
              <w:right w:val="single" w:sz="4" w:space="0" w:color="auto"/>
            </w:tcBorders>
            <w:shd w:val="clear" w:color="000000" w:fill="FABF8F"/>
            <w:noWrap/>
            <w:vAlign w:val="center"/>
            <w:hideMark/>
          </w:tcPr>
          <w:p w14:paraId="1D0B8301"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8DB4E2"/>
            <w:noWrap/>
            <w:vAlign w:val="center"/>
            <w:hideMark/>
          </w:tcPr>
          <w:p w14:paraId="5DAD8CB6"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nil"/>
              <w:left w:val="nil"/>
              <w:bottom w:val="single" w:sz="4" w:space="0" w:color="auto"/>
              <w:right w:val="single" w:sz="4" w:space="0" w:color="auto"/>
            </w:tcBorders>
            <w:shd w:val="clear" w:color="000000" w:fill="D9D9D9"/>
            <w:noWrap/>
            <w:vAlign w:val="center"/>
            <w:hideMark/>
          </w:tcPr>
          <w:p w14:paraId="65FC09AB"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nil"/>
              <w:left w:val="nil"/>
              <w:bottom w:val="single" w:sz="4" w:space="0" w:color="auto"/>
              <w:right w:val="single" w:sz="4" w:space="0" w:color="auto"/>
            </w:tcBorders>
            <w:shd w:val="clear" w:color="000000" w:fill="92D050"/>
            <w:noWrap/>
            <w:vAlign w:val="center"/>
            <w:hideMark/>
          </w:tcPr>
          <w:p w14:paraId="110BC003"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nil"/>
              <w:left w:val="nil"/>
              <w:bottom w:val="single" w:sz="4" w:space="0" w:color="auto"/>
              <w:right w:val="single" w:sz="4" w:space="0" w:color="auto"/>
            </w:tcBorders>
            <w:shd w:val="clear" w:color="000000" w:fill="00B0F0"/>
            <w:noWrap/>
            <w:vAlign w:val="center"/>
            <w:hideMark/>
          </w:tcPr>
          <w:p w14:paraId="0AD1F33B"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99" w:type="dxa"/>
            <w:tcBorders>
              <w:top w:val="nil"/>
              <w:left w:val="nil"/>
              <w:bottom w:val="single" w:sz="4" w:space="0" w:color="auto"/>
              <w:right w:val="single" w:sz="4" w:space="0" w:color="auto"/>
            </w:tcBorders>
            <w:shd w:val="clear" w:color="000000" w:fill="C4BD97"/>
            <w:noWrap/>
            <w:vAlign w:val="center"/>
            <w:hideMark/>
          </w:tcPr>
          <w:p w14:paraId="336CE47E"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nil"/>
              <w:left w:val="nil"/>
              <w:bottom w:val="single" w:sz="4" w:space="0" w:color="auto"/>
              <w:right w:val="single" w:sz="4" w:space="0" w:color="auto"/>
            </w:tcBorders>
            <w:shd w:val="clear" w:color="000000" w:fill="E6B8B7"/>
            <w:noWrap/>
            <w:vAlign w:val="center"/>
            <w:hideMark/>
          </w:tcPr>
          <w:p w14:paraId="7386893E"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nil"/>
              <w:left w:val="nil"/>
              <w:bottom w:val="single" w:sz="4" w:space="0" w:color="auto"/>
              <w:right w:val="single" w:sz="4" w:space="0" w:color="auto"/>
            </w:tcBorders>
            <w:shd w:val="clear" w:color="000000" w:fill="DAEEF3"/>
            <w:noWrap/>
            <w:vAlign w:val="bottom"/>
            <w:hideMark/>
          </w:tcPr>
          <w:p w14:paraId="0B4BF6B4"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D64C4C" w:rsidRPr="007C266E" w14:paraId="6BA8DC0D" w14:textId="77777777" w:rsidTr="004477EF">
        <w:trPr>
          <w:trHeight w:val="26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3F04D" w14:textId="77777777" w:rsidR="00D64C4C" w:rsidRPr="007C266E" w:rsidRDefault="00D64C4C"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OP22</w:t>
            </w:r>
          </w:p>
        </w:tc>
        <w:tc>
          <w:tcPr>
            <w:tcW w:w="1042" w:type="dxa"/>
            <w:tcBorders>
              <w:top w:val="single" w:sz="4" w:space="0" w:color="auto"/>
              <w:left w:val="nil"/>
              <w:bottom w:val="single" w:sz="4" w:space="0" w:color="auto"/>
              <w:right w:val="single" w:sz="4" w:space="0" w:color="auto"/>
            </w:tcBorders>
            <w:shd w:val="clear" w:color="000000" w:fill="FABF8F"/>
            <w:noWrap/>
            <w:vAlign w:val="center"/>
          </w:tcPr>
          <w:p w14:paraId="49F6A066" w14:textId="77777777" w:rsidR="00D64C4C" w:rsidRPr="007C266E" w:rsidRDefault="00D64C4C" w:rsidP="0038022C">
            <w:pPr>
              <w:spacing w:after="0" w:line="240" w:lineRule="auto"/>
              <w:jc w:val="center"/>
              <w:rPr>
                <w:rFonts w:ascii="Times New Roman" w:eastAsia="Times New Roman" w:hAnsi="Times New Roman" w:cs="Times New Roman"/>
                <w:b/>
                <w:bCs/>
                <w:color w:val="000000"/>
                <w:sz w:val="23"/>
                <w:szCs w:val="23"/>
                <w:lang w:val="ro-RO"/>
              </w:rPr>
            </w:pPr>
          </w:p>
        </w:tc>
        <w:tc>
          <w:tcPr>
            <w:tcW w:w="1042" w:type="dxa"/>
            <w:tcBorders>
              <w:top w:val="single" w:sz="4" w:space="0" w:color="auto"/>
              <w:left w:val="nil"/>
              <w:bottom w:val="single" w:sz="4" w:space="0" w:color="auto"/>
              <w:right w:val="single" w:sz="4" w:space="0" w:color="auto"/>
            </w:tcBorders>
            <w:shd w:val="clear" w:color="000000" w:fill="8DB4E2"/>
            <w:noWrap/>
            <w:vAlign w:val="center"/>
          </w:tcPr>
          <w:p w14:paraId="15744E83" w14:textId="77777777" w:rsidR="00D64C4C" w:rsidRPr="007C266E" w:rsidRDefault="00D64C4C" w:rsidP="00A86877">
            <w:pPr>
              <w:spacing w:after="0" w:line="240" w:lineRule="auto"/>
              <w:jc w:val="center"/>
              <w:rPr>
                <w:rFonts w:ascii="Times New Roman" w:eastAsia="Times New Roman" w:hAnsi="Times New Roman" w:cs="Times New Roman"/>
                <w:b/>
                <w:bCs/>
                <w:color w:val="000000"/>
                <w:sz w:val="23"/>
                <w:szCs w:val="23"/>
                <w:lang w:val="ro-RO"/>
              </w:rPr>
            </w:pPr>
          </w:p>
        </w:tc>
        <w:tc>
          <w:tcPr>
            <w:tcW w:w="1259" w:type="dxa"/>
            <w:tcBorders>
              <w:top w:val="single" w:sz="4" w:space="0" w:color="auto"/>
              <w:left w:val="nil"/>
              <w:bottom w:val="single" w:sz="4" w:space="0" w:color="auto"/>
              <w:right w:val="single" w:sz="4" w:space="0" w:color="auto"/>
            </w:tcBorders>
            <w:shd w:val="clear" w:color="000000" w:fill="D9D9D9"/>
            <w:noWrap/>
            <w:vAlign w:val="center"/>
          </w:tcPr>
          <w:p w14:paraId="29F4A8D2" w14:textId="77777777" w:rsidR="00D64C4C" w:rsidRPr="007C266E" w:rsidRDefault="00D64C4C" w:rsidP="00A86877">
            <w:pPr>
              <w:spacing w:after="0" w:line="240" w:lineRule="auto"/>
              <w:jc w:val="center"/>
              <w:rPr>
                <w:rFonts w:ascii="Times New Roman" w:eastAsia="Times New Roman" w:hAnsi="Times New Roman" w:cs="Times New Roman"/>
                <w:b/>
                <w:bCs/>
                <w:color w:val="000000"/>
                <w:sz w:val="23"/>
                <w:szCs w:val="23"/>
                <w:lang w:val="ro-RO"/>
              </w:rPr>
            </w:pPr>
          </w:p>
        </w:tc>
        <w:tc>
          <w:tcPr>
            <w:tcW w:w="1140" w:type="dxa"/>
            <w:tcBorders>
              <w:top w:val="single" w:sz="4" w:space="0" w:color="auto"/>
              <w:left w:val="nil"/>
              <w:bottom w:val="single" w:sz="4" w:space="0" w:color="auto"/>
              <w:right w:val="single" w:sz="4" w:space="0" w:color="auto"/>
            </w:tcBorders>
            <w:shd w:val="clear" w:color="000000" w:fill="92D050"/>
            <w:noWrap/>
            <w:vAlign w:val="center"/>
          </w:tcPr>
          <w:p w14:paraId="29FD40BB" w14:textId="77777777" w:rsidR="00D64C4C" w:rsidRPr="007C266E" w:rsidRDefault="00D64C4C" w:rsidP="009E5804">
            <w:pPr>
              <w:spacing w:after="0" w:line="240" w:lineRule="auto"/>
              <w:jc w:val="center"/>
              <w:rPr>
                <w:rFonts w:ascii="Times New Roman" w:eastAsia="Times New Roman" w:hAnsi="Times New Roman" w:cs="Times New Roman"/>
                <w:b/>
                <w:bCs/>
                <w:color w:val="000000"/>
                <w:sz w:val="23"/>
                <w:szCs w:val="23"/>
                <w:lang w:val="ro-RO"/>
              </w:rPr>
            </w:pPr>
          </w:p>
        </w:tc>
        <w:tc>
          <w:tcPr>
            <w:tcW w:w="1042" w:type="dxa"/>
            <w:tcBorders>
              <w:top w:val="single" w:sz="4" w:space="0" w:color="auto"/>
              <w:left w:val="nil"/>
              <w:bottom w:val="single" w:sz="4" w:space="0" w:color="auto"/>
              <w:right w:val="single" w:sz="4" w:space="0" w:color="auto"/>
            </w:tcBorders>
            <w:shd w:val="clear" w:color="000000" w:fill="00B0F0"/>
            <w:noWrap/>
            <w:vAlign w:val="center"/>
          </w:tcPr>
          <w:p w14:paraId="73A90180" w14:textId="77777777" w:rsidR="00D64C4C" w:rsidRPr="007C266E" w:rsidRDefault="00D64C4C"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099" w:type="dxa"/>
            <w:tcBorders>
              <w:top w:val="single" w:sz="4" w:space="0" w:color="auto"/>
              <w:left w:val="nil"/>
              <w:bottom w:val="single" w:sz="4" w:space="0" w:color="auto"/>
              <w:right w:val="single" w:sz="4" w:space="0" w:color="auto"/>
            </w:tcBorders>
            <w:shd w:val="clear" w:color="000000" w:fill="C4BD97"/>
            <w:noWrap/>
            <w:vAlign w:val="center"/>
          </w:tcPr>
          <w:p w14:paraId="35AB74DA" w14:textId="77777777" w:rsidR="00D64C4C" w:rsidRPr="007C266E" w:rsidRDefault="00D64C4C" w:rsidP="009E5804">
            <w:pPr>
              <w:spacing w:after="0" w:line="240" w:lineRule="auto"/>
              <w:jc w:val="center"/>
              <w:rPr>
                <w:rFonts w:ascii="Times New Roman" w:eastAsia="Times New Roman" w:hAnsi="Times New Roman" w:cs="Times New Roman"/>
                <w:b/>
                <w:bCs/>
                <w:color w:val="000000"/>
                <w:sz w:val="23"/>
                <w:szCs w:val="23"/>
                <w:lang w:val="ro-RO"/>
              </w:rPr>
            </w:pPr>
          </w:p>
        </w:tc>
        <w:tc>
          <w:tcPr>
            <w:tcW w:w="1430" w:type="dxa"/>
            <w:tcBorders>
              <w:top w:val="single" w:sz="4" w:space="0" w:color="auto"/>
              <w:left w:val="nil"/>
              <w:bottom w:val="single" w:sz="4" w:space="0" w:color="auto"/>
              <w:right w:val="single" w:sz="4" w:space="0" w:color="auto"/>
            </w:tcBorders>
            <w:shd w:val="clear" w:color="000000" w:fill="E6B8B7"/>
            <w:noWrap/>
            <w:vAlign w:val="center"/>
          </w:tcPr>
          <w:p w14:paraId="0DAE91A9" w14:textId="77777777" w:rsidR="00D64C4C" w:rsidRPr="007C266E" w:rsidRDefault="00D64C4C" w:rsidP="009E5804">
            <w:pPr>
              <w:spacing w:after="0" w:line="240" w:lineRule="auto"/>
              <w:jc w:val="center"/>
              <w:rPr>
                <w:rFonts w:ascii="Times New Roman" w:eastAsia="Times New Roman" w:hAnsi="Times New Roman" w:cs="Times New Roman"/>
                <w:b/>
                <w:bCs/>
                <w:color w:val="000000"/>
                <w:sz w:val="23"/>
                <w:szCs w:val="23"/>
                <w:lang w:val="ro-RO"/>
              </w:rPr>
            </w:pPr>
          </w:p>
        </w:tc>
        <w:tc>
          <w:tcPr>
            <w:tcW w:w="906" w:type="dxa"/>
            <w:tcBorders>
              <w:top w:val="single" w:sz="4" w:space="0" w:color="auto"/>
              <w:left w:val="nil"/>
              <w:bottom w:val="single" w:sz="4" w:space="0" w:color="auto"/>
              <w:right w:val="single" w:sz="4" w:space="0" w:color="auto"/>
            </w:tcBorders>
            <w:shd w:val="clear" w:color="000000" w:fill="DAEEF3"/>
            <w:noWrap/>
            <w:vAlign w:val="bottom"/>
          </w:tcPr>
          <w:p w14:paraId="7D16B84A" w14:textId="77777777" w:rsidR="00D64C4C" w:rsidRPr="007C266E" w:rsidRDefault="00D64C4C" w:rsidP="009E5804">
            <w:pPr>
              <w:spacing w:after="0" w:line="240" w:lineRule="auto"/>
              <w:rPr>
                <w:rFonts w:ascii="Times New Roman" w:eastAsia="Times New Roman" w:hAnsi="Times New Roman" w:cs="Times New Roman"/>
                <w:color w:val="000000"/>
                <w:sz w:val="23"/>
                <w:szCs w:val="23"/>
                <w:lang w:val="ro-RO"/>
              </w:rPr>
            </w:pPr>
          </w:p>
        </w:tc>
      </w:tr>
      <w:tr w:rsidR="00F126EF" w:rsidRPr="007C266E" w14:paraId="66359F92" w14:textId="77777777" w:rsidTr="004477EF">
        <w:trPr>
          <w:trHeight w:val="26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ED196"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OP2</w:t>
            </w:r>
            <w:r w:rsidR="00D64C4C" w:rsidRPr="007C266E">
              <w:rPr>
                <w:rFonts w:ascii="Times New Roman" w:eastAsia="Times New Roman" w:hAnsi="Times New Roman" w:cs="Times New Roman"/>
                <w:b/>
                <w:bCs/>
                <w:color w:val="000000"/>
                <w:sz w:val="23"/>
                <w:szCs w:val="23"/>
                <w:lang w:val="ro-RO"/>
              </w:rPr>
              <w:t>3</w:t>
            </w:r>
          </w:p>
        </w:tc>
        <w:tc>
          <w:tcPr>
            <w:tcW w:w="1042" w:type="dxa"/>
            <w:tcBorders>
              <w:top w:val="single" w:sz="4" w:space="0" w:color="auto"/>
              <w:left w:val="nil"/>
              <w:bottom w:val="single" w:sz="4" w:space="0" w:color="auto"/>
              <w:right w:val="single" w:sz="4" w:space="0" w:color="auto"/>
            </w:tcBorders>
            <w:shd w:val="clear" w:color="000000" w:fill="FABF8F"/>
            <w:noWrap/>
            <w:vAlign w:val="center"/>
            <w:hideMark/>
          </w:tcPr>
          <w:p w14:paraId="7B8B52DC"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single" w:sz="4" w:space="0" w:color="auto"/>
              <w:left w:val="nil"/>
              <w:bottom w:val="single" w:sz="4" w:space="0" w:color="auto"/>
              <w:right w:val="single" w:sz="4" w:space="0" w:color="auto"/>
            </w:tcBorders>
            <w:shd w:val="clear" w:color="000000" w:fill="8DB4E2"/>
            <w:noWrap/>
            <w:vAlign w:val="center"/>
            <w:hideMark/>
          </w:tcPr>
          <w:p w14:paraId="2AF6CD4A"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single" w:sz="4" w:space="0" w:color="auto"/>
              <w:left w:val="nil"/>
              <w:bottom w:val="single" w:sz="4" w:space="0" w:color="auto"/>
              <w:right w:val="single" w:sz="4" w:space="0" w:color="auto"/>
            </w:tcBorders>
            <w:shd w:val="clear" w:color="000000" w:fill="D9D9D9"/>
            <w:noWrap/>
            <w:vAlign w:val="center"/>
            <w:hideMark/>
          </w:tcPr>
          <w:p w14:paraId="592E6407"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single" w:sz="4" w:space="0" w:color="auto"/>
              <w:left w:val="nil"/>
              <w:bottom w:val="single" w:sz="4" w:space="0" w:color="auto"/>
              <w:right w:val="single" w:sz="4" w:space="0" w:color="auto"/>
            </w:tcBorders>
            <w:shd w:val="clear" w:color="000000" w:fill="92D050"/>
            <w:noWrap/>
            <w:vAlign w:val="center"/>
            <w:hideMark/>
          </w:tcPr>
          <w:p w14:paraId="63C039B5"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single" w:sz="4" w:space="0" w:color="auto"/>
              <w:left w:val="nil"/>
              <w:bottom w:val="single" w:sz="4" w:space="0" w:color="auto"/>
              <w:right w:val="single" w:sz="4" w:space="0" w:color="auto"/>
            </w:tcBorders>
            <w:shd w:val="clear" w:color="000000" w:fill="00B0F0"/>
            <w:noWrap/>
            <w:vAlign w:val="center"/>
            <w:hideMark/>
          </w:tcPr>
          <w:p w14:paraId="6072B470"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single" w:sz="4" w:space="0" w:color="auto"/>
              <w:left w:val="nil"/>
              <w:bottom w:val="single" w:sz="4" w:space="0" w:color="auto"/>
              <w:right w:val="single" w:sz="4" w:space="0" w:color="auto"/>
            </w:tcBorders>
            <w:shd w:val="clear" w:color="000000" w:fill="C4BD97"/>
            <w:noWrap/>
            <w:vAlign w:val="center"/>
            <w:hideMark/>
          </w:tcPr>
          <w:p w14:paraId="2B8104CE"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430" w:type="dxa"/>
            <w:tcBorders>
              <w:top w:val="single" w:sz="4" w:space="0" w:color="auto"/>
              <w:left w:val="nil"/>
              <w:bottom w:val="single" w:sz="4" w:space="0" w:color="auto"/>
              <w:right w:val="single" w:sz="4" w:space="0" w:color="auto"/>
            </w:tcBorders>
            <w:shd w:val="clear" w:color="000000" w:fill="E6B8B7"/>
            <w:noWrap/>
            <w:vAlign w:val="center"/>
            <w:hideMark/>
          </w:tcPr>
          <w:p w14:paraId="0FA21DB1"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906" w:type="dxa"/>
            <w:tcBorders>
              <w:top w:val="single" w:sz="4" w:space="0" w:color="auto"/>
              <w:left w:val="nil"/>
              <w:bottom w:val="single" w:sz="4" w:space="0" w:color="auto"/>
              <w:right w:val="single" w:sz="4" w:space="0" w:color="auto"/>
            </w:tcBorders>
            <w:shd w:val="clear" w:color="000000" w:fill="DAEEF3"/>
            <w:noWrap/>
            <w:vAlign w:val="bottom"/>
            <w:hideMark/>
          </w:tcPr>
          <w:p w14:paraId="5959D462"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F126EF" w:rsidRPr="007C266E" w14:paraId="6E7EB4AB" w14:textId="77777777" w:rsidTr="004477EF">
        <w:trPr>
          <w:trHeight w:val="25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79A6D" w14:textId="77777777" w:rsidR="00F126EF" w:rsidRPr="007C266E" w:rsidRDefault="00F126EF"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OP2</w:t>
            </w:r>
            <w:r w:rsidR="00D64C4C" w:rsidRPr="007C266E">
              <w:rPr>
                <w:rFonts w:ascii="Times New Roman" w:eastAsia="Times New Roman" w:hAnsi="Times New Roman" w:cs="Times New Roman"/>
                <w:b/>
                <w:bCs/>
                <w:color w:val="000000"/>
                <w:sz w:val="23"/>
                <w:szCs w:val="23"/>
                <w:lang w:val="ro-RO"/>
              </w:rPr>
              <w:t>4</w:t>
            </w:r>
          </w:p>
        </w:tc>
        <w:tc>
          <w:tcPr>
            <w:tcW w:w="1042" w:type="dxa"/>
            <w:tcBorders>
              <w:top w:val="single" w:sz="4" w:space="0" w:color="auto"/>
              <w:left w:val="nil"/>
              <w:bottom w:val="single" w:sz="4" w:space="0" w:color="auto"/>
              <w:right w:val="single" w:sz="4" w:space="0" w:color="auto"/>
            </w:tcBorders>
            <w:shd w:val="clear" w:color="000000" w:fill="FABF8F"/>
            <w:noWrap/>
            <w:vAlign w:val="center"/>
            <w:hideMark/>
          </w:tcPr>
          <w:p w14:paraId="1A2C2124" w14:textId="77777777" w:rsidR="00F126EF" w:rsidRPr="007C266E" w:rsidRDefault="00F126EF" w:rsidP="0038022C">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single" w:sz="4" w:space="0" w:color="auto"/>
              <w:left w:val="nil"/>
              <w:bottom w:val="single" w:sz="4" w:space="0" w:color="auto"/>
              <w:right w:val="single" w:sz="4" w:space="0" w:color="auto"/>
            </w:tcBorders>
            <w:shd w:val="clear" w:color="000000" w:fill="8DB4E2"/>
            <w:noWrap/>
            <w:vAlign w:val="center"/>
            <w:hideMark/>
          </w:tcPr>
          <w:p w14:paraId="2A0017E1"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259" w:type="dxa"/>
            <w:tcBorders>
              <w:top w:val="single" w:sz="4" w:space="0" w:color="auto"/>
              <w:left w:val="nil"/>
              <w:bottom w:val="single" w:sz="4" w:space="0" w:color="auto"/>
              <w:right w:val="single" w:sz="4" w:space="0" w:color="auto"/>
            </w:tcBorders>
            <w:shd w:val="clear" w:color="000000" w:fill="D9D9D9"/>
            <w:noWrap/>
            <w:vAlign w:val="center"/>
            <w:hideMark/>
          </w:tcPr>
          <w:p w14:paraId="60A0D63F" w14:textId="77777777" w:rsidR="00F126EF" w:rsidRPr="007C266E" w:rsidRDefault="00F126EF"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140" w:type="dxa"/>
            <w:tcBorders>
              <w:top w:val="single" w:sz="4" w:space="0" w:color="auto"/>
              <w:left w:val="nil"/>
              <w:bottom w:val="single" w:sz="4" w:space="0" w:color="auto"/>
              <w:right w:val="single" w:sz="4" w:space="0" w:color="auto"/>
            </w:tcBorders>
            <w:shd w:val="clear" w:color="000000" w:fill="92D050"/>
            <w:noWrap/>
            <w:vAlign w:val="center"/>
            <w:hideMark/>
          </w:tcPr>
          <w:p w14:paraId="154821FB"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42" w:type="dxa"/>
            <w:tcBorders>
              <w:top w:val="single" w:sz="4" w:space="0" w:color="auto"/>
              <w:left w:val="nil"/>
              <w:bottom w:val="single" w:sz="4" w:space="0" w:color="auto"/>
              <w:right w:val="single" w:sz="4" w:space="0" w:color="auto"/>
            </w:tcBorders>
            <w:shd w:val="clear" w:color="000000" w:fill="00B0F0"/>
            <w:noWrap/>
            <w:vAlign w:val="center"/>
            <w:hideMark/>
          </w:tcPr>
          <w:p w14:paraId="0B4C4DAA"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099" w:type="dxa"/>
            <w:tcBorders>
              <w:top w:val="single" w:sz="4" w:space="0" w:color="auto"/>
              <w:left w:val="nil"/>
              <w:bottom w:val="single" w:sz="4" w:space="0" w:color="auto"/>
              <w:right w:val="single" w:sz="4" w:space="0" w:color="auto"/>
            </w:tcBorders>
            <w:shd w:val="clear" w:color="000000" w:fill="C4BD97"/>
            <w:noWrap/>
            <w:vAlign w:val="center"/>
            <w:hideMark/>
          </w:tcPr>
          <w:p w14:paraId="094C1E12"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 </w:t>
            </w:r>
          </w:p>
        </w:tc>
        <w:tc>
          <w:tcPr>
            <w:tcW w:w="1430" w:type="dxa"/>
            <w:tcBorders>
              <w:top w:val="single" w:sz="4" w:space="0" w:color="auto"/>
              <w:left w:val="nil"/>
              <w:bottom w:val="single" w:sz="4" w:space="0" w:color="auto"/>
              <w:right w:val="single" w:sz="4" w:space="0" w:color="auto"/>
            </w:tcBorders>
            <w:shd w:val="clear" w:color="000000" w:fill="E6B8B7"/>
            <w:noWrap/>
            <w:vAlign w:val="center"/>
            <w:hideMark/>
          </w:tcPr>
          <w:p w14:paraId="482A4B91" w14:textId="77777777" w:rsidR="00F126EF" w:rsidRPr="007C266E" w:rsidRDefault="00F126EF" w:rsidP="009E5804">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906" w:type="dxa"/>
            <w:tcBorders>
              <w:top w:val="single" w:sz="4" w:space="0" w:color="auto"/>
              <w:left w:val="nil"/>
              <w:bottom w:val="single" w:sz="4" w:space="0" w:color="auto"/>
              <w:right w:val="single" w:sz="4" w:space="0" w:color="auto"/>
            </w:tcBorders>
            <w:shd w:val="clear" w:color="000000" w:fill="DAEEF3"/>
            <w:noWrap/>
            <w:vAlign w:val="bottom"/>
            <w:hideMark/>
          </w:tcPr>
          <w:p w14:paraId="19A1C7E7" w14:textId="77777777" w:rsidR="00F126EF" w:rsidRPr="007C266E" w:rsidRDefault="00F126EF" w:rsidP="009E5804">
            <w:pPr>
              <w:spacing w:after="0" w:line="240" w:lineRule="auto"/>
              <w:rPr>
                <w:rFonts w:ascii="Times New Roman" w:eastAsia="Times New Roman" w:hAnsi="Times New Roman" w:cs="Times New Roman"/>
                <w:color w:val="000000"/>
                <w:sz w:val="23"/>
                <w:szCs w:val="23"/>
                <w:lang w:val="ro-RO"/>
              </w:rPr>
            </w:pPr>
            <w:r w:rsidRPr="007C266E">
              <w:rPr>
                <w:rFonts w:ascii="Times New Roman" w:eastAsia="Times New Roman" w:hAnsi="Times New Roman" w:cs="Times New Roman"/>
                <w:color w:val="000000"/>
                <w:sz w:val="23"/>
                <w:szCs w:val="23"/>
                <w:lang w:val="ro-RO"/>
              </w:rPr>
              <w:t> </w:t>
            </w:r>
          </w:p>
        </w:tc>
      </w:tr>
      <w:tr w:rsidR="00DF7F7A" w:rsidRPr="007C266E" w14:paraId="39B6A0B8" w14:textId="77777777" w:rsidTr="004477EF">
        <w:trPr>
          <w:trHeight w:val="25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5F677" w14:textId="77777777" w:rsidR="00DF7F7A" w:rsidRPr="007C266E" w:rsidRDefault="00D64C4C" w:rsidP="006E1D2D">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OP25</w:t>
            </w:r>
          </w:p>
        </w:tc>
        <w:tc>
          <w:tcPr>
            <w:tcW w:w="1042" w:type="dxa"/>
            <w:tcBorders>
              <w:top w:val="single" w:sz="4" w:space="0" w:color="auto"/>
              <w:left w:val="nil"/>
              <w:bottom w:val="single" w:sz="4" w:space="0" w:color="auto"/>
              <w:right w:val="single" w:sz="4" w:space="0" w:color="auto"/>
            </w:tcBorders>
            <w:shd w:val="clear" w:color="000000" w:fill="FABF8F"/>
            <w:noWrap/>
            <w:vAlign w:val="center"/>
          </w:tcPr>
          <w:p w14:paraId="4A2CEDE6" w14:textId="77777777" w:rsidR="00DF7F7A" w:rsidRPr="007C266E" w:rsidRDefault="00DF7F7A" w:rsidP="0038022C">
            <w:pPr>
              <w:spacing w:after="0" w:line="240" w:lineRule="auto"/>
              <w:jc w:val="center"/>
              <w:rPr>
                <w:rFonts w:ascii="Times New Roman" w:eastAsia="Times New Roman" w:hAnsi="Times New Roman" w:cs="Times New Roman"/>
                <w:b/>
                <w:bCs/>
                <w:color w:val="000000"/>
                <w:sz w:val="23"/>
                <w:szCs w:val="23"/>
                <w:lang w:val="ro-RO"/>
              </w:rPr>
            </w:pPr>
          </w:p>
        </w:tc>
        <w:tc>
          <w:tcPr>
            <w:tcW w:w="1042" w:type="dxa"/>
            <w:tcBorders>
              <w:top w:val="single" w:sz="4" w:space="0" w:color="auto"/>
              <w:left w:val="nil"/>
              <w:bottom w:val="single" w:sz="4" w:space="0" w:color="auto"/>
              <w:right w:val="single" w:sz="4" w:space="0" w:color="auto"/>
            </w:tcBorders>
            <w:shd w:val="clear" w:color="000000" w:fill="8DB4E2"/>
            <w:noWrap/>
            <w:vAlign w:val="center"/>
          </w:tcPr>
          <w:p w14:paraId="38AF7303" w14:textId="77777777" w:rsidR="00DF7F7A" w:rsidRPr="007C266E" w:rsidRDefault="00E51C1E" w:rsidP="00A86877">
            <w:pPr>
              <w:spacing w:after="0" w:line="240" w:lineRule="auto"/>
              <w:jc w:val="center"/>
              <w:rPr>
                <w:rFonts w:ascii="Times New Roman" w:eastAsia="Times New Roman" w:hAnsi="Times New Roman" w:cs="Times New Roman"/>
                <w:b/>
                <w:bCs/>
                <w:color w:val="000000"/>
                <w:sz w:val="23"/>
                <w:szCs w:val="23"/>
                <w:lang w:val="ro-RO"/>
              </w:rPr>
            </w:pPr>
            <w:r w:rsidRPr="007C266E">
              <w:rPr>
                <w:rFonts w:ascii="Times New Roman" w:eastAsia="Times New Roman" w:hAnsi="Times New Roman" w:cs="Times New Roman"/>
                <w:b/>
                <w:bCs/>
                <w:color w:val="000000"/>
                <w:sz w:val="23"/>
                <w:szCs w:val="23"/>
                <w:lang w:val="ro-RO"/>
              </w:rPr>
              <w:t>x</w:t>
            </w:r>
          </w:p>
        </w:tc>
        <w:tc>
          <w:tcPr>
            <w:tcW w:w="1259" w:type="dxa"/>
            <w:tcBorders>
              <w:top w:val="single" w:sz="4" w:space="0" w:color="auto"/>
              <w:left w:val="nil"/>
              <w:bottom w:val="single" w:sz="4" w:space="0" w:color="auto"/>
              <w:right w:val="single" w:sz="4" w:space="0" w:color="auto"/>
            </w:tcBorders>
            <w:shd w:val="clear" w:color="000000" w:fill="D9D9D9"/>
            <w:noWrap/>
            <w:vAlign w:val="center"/>
          </w:tcPr>
          <w:p w14:paraId="3DDC077E" w14:textId="77777777" w:rsidR="00DF7F7A" w:rsidRPr="007C266E" w:rsidRDefault="00DF7F7A" w:rsidP="00A86877">
            <w:pPr>
              <w:spacing w:after="0" w:line="240" w:lineRule="auto"/>
              <w:jc w:val="center"/>
              <w:rPr>
                <w:rFonts w:ascii="Times New Roman" w:eastAsia="Times New Roman" w:hAnsi="Times New Roman" w:cs="Times New Roman"/>
                <w:b/>
                <w:bCs/>
                <w:color w:val="000000"/>
                <w:sz w:val="23"/>
                <w:szCs w:val="23"/>
                <w:lang w:val="ro-RO"/>
              </w:rPr>
            </w:pPr>
          </w:p>
        </w:tc>
        <w:tc>
          <w:tcPr>
            <w:tcW w:w="1140" w:type="dxa"/>
            <w:tcBorders>
              <w:top w:val="single" w:sz="4" w:space="0" w:color="auto"/>
              <w:left w:val="nil"/>
              <w:bottom w:val="single" w:sz="4" w:space="0" w:color="auto"/>
              <w:right w:val="single" w:sz="4" w:space="0" w:color="auto"/>
            </w:tcBorders>
            <w:shd w:val="clear" w:color="000000" w:fill="92D050"/>
            <w:noWrap/>
            <w:vAlign w:val="center"/>
          </w:tcPr>
          <w:p w14:paraId="3D18389A" w14:textId="77777777" w:rsidR="00DF7F7A" w:rsidRPr="007C266E" w:rsidRDefault="00DF7F7A" w:rsidP="009E5804">
            <w:pPr>
              <w:spacing w:after="0" w:line="240" w:lineRule="auto"/>
              <w:jc w:val="center"/>
              <w:rPr>
                <w:rFonts w:ascii="Times New Roman" w:eastAsia="Times New Roman" w:hAnsi="Times New Roman" w:cs="Times New Roman"/>
                <w:b/>
                <w:bCs/>
                <w:color w:val="000000"/>
                <w:sz w:val="23"/>
                <w:szCs w:val="23"/>
                <w:lang w:val="ro-RO"/>
              </w:rPr>
            </w:pPr>
          </w:p>
        </w:tc>
        <w:tc>
          <w:tcPr>
            <w:tcW w:w="1042" w:type="dxa"/>
            <w:tcBorders>
              <w:top w:val="single" w:sz="4" w:space="0" w:color="auto"/>
              <w:left w:val="nil"/>
              <w:bottom w:val="single" w:sz="4" w:space="0" w:color="auto"/>
              <w:right w:val="single" w:sz="4" w:space="0" w:color="auto"/>
            </w:tcBorders>
            <w:shd w:val="clear" w:color="000000" w:fill="00B0F0"/>
            <w:noWrap/>
            <w:vAlign w:val="center"/>
          </w:tcPr>
          <w:p w14:paraId="65403EE4" w14:textId="77777777" w:rsidR="00DF7F7A" w:rsidRPr="007C266E" w:rsidRDefault="00DF7F7A" w:rsidP="009E5804">
            <w:pPr>
              <w:spacing w:after="0" w:line="240" w:lineRule="auto"/>
              <w:jc w:val="center"/>
              <w:rPr>
                <w:rFonts w:ascii="Times New Roman" w:eastAsia="Times New Roman" w:hAnsi="Times New Roman" w:cs="Times New Roman"/>
                <w:b/>
                <w:bCs/>
                <w:color w:val="000000"/>
                <w:sz w:val="23"/>
                <w:szCs w:val="23"/>
                <w:lang w:val="ro-RO"/>
              </w:rPr>
            </w:pPr>
          </w:p>
        </w:tc>
        <w:tc>
          <w:tcPr>
            <w:tcW w:w="1099" w:type="dxa"/>
            <w:tcBorders>
              <w:top w:val="single" w:sz="4" w:space="0" w:color="auto"/>
              <w:left w:val="nil"/>
              <w:bottom w:val="single" w:sz="4" w:space="0" w:color="auto"/>
              <w:right w:val="single" w:sz="4" w:space="0" w:color="auto"/>
            </w:tcBorders>
            <w:shd w:val="clear" w:color="000000" w:fill="C4BD97"/>
            <w:noWrap/>
            <w:vAlign w:val="center"/>
          </w:tcPr>
          <w:p w14:paraId="6CB98D96" w14:textId="77777777" w:rsidR="00DF7F7A" w:rsidRPr="007C266E" w:rsidRDefault="00DF7F7A" w:rsidP="009E5804">
            <w:pPr>
              <w:spacing w:after="0" w:line="240" w:lineRule="auto"/>
              <w:jc w:val="center"/>
              <w:rPr>
                <w:rFonts w:ascii="Times New Roman" w:eastAsia="Times New Roman" w:hAnsi="Times New Roman" w:cs="Times New Roman"/>
                <w:b/>
                <w:bCs/>
                <w:color w:val="000000"/>
                <w:sz w:val="23"/>
                <w:szCs w:val="23"/>
                <w:lang w:val="ro-RO"/>
              </w:rPr>
            </w:pPr>
          </w:p>
        </w:tc>
        <w:tc>
          <w:tcPr>
            <w:tcW w:w="1430" w:type="dxa"/>
            <w:tcBorders>
              <w:top w:val="single" w:sz="4" w:space="0" w:color="auto"/>
              <w:left w:val="nil"/>
              <w:bottom w:val="single" w:sz="4" w:space="0" w:color="auto"/>
              <w:right w:val="single" w:sz="4" w:space="0" w:color="auto"/>
            </w:tcBorders>
            <w:shd w:val="clear" w:color="000000" w:fill="E6B8B7"/>
            <w:noWrap/>
            <w:vAlign w:val="center"/>
          </w:tcPr>
          <w:p w14:paraId="2579AEC0" w14:textId="77777777" w:rsidR="00DF7F7A" w:rsidRPr="007C266E" w:rsidRDefault="00DF7F7A" w:rsidP="009E5804">
            <w:pPr>
              <w:spacing w:after="0" w:line="240" w:lineRule="auto"/>
              <w:jc w:val="center"/>
              <w:rPr>
                <w:rFonts w:ascii="Times New Roman" w:eastAsia="Times New Roman" w:hAnsi="Times New Roman" w:cs="Times New Roman"/>
                <w:b/>
                <w:bCs/>
                <w:color w:val="000000"/>
                <w:sz w:val="23"/>
                <w:szCs w:val="23"/>
                <w:lang w:val="ro-RO"/>
              </w:rPr>
            </w:pPr>
          </w:p>
        </w:tc>
        <w:tc>
          <w:tcPr>
            <w:tcW w:w="906" w:type="dxa"/>
            <w:tcBorders>
              <w:top w:val="single" w:sz="4" w:space="0" w:color="auto"/>
              <w:left w:val="nil"/>
              <w:bottom w:val="single" w:sz="4" w:space="0" w:color="auto"/>
              <w:right w:val="single" w:sz="4" w:space="0" w:color="auto"/>
            </w:tcBorders>
            <w:shd w:val="clear" w:color="000000" w:fill="DAEEF3"/>
            <w:noWrap/>
            <w:vAlign w:val="bottom"/>
          </w:tcPr>
          <w:p w14:paraId="4831CDF2" w14:textId="77777777" w:rsidR="00DF7F7A" w:rsidRPr="007C266E" w:rsidRDefault="00DF7F7A" w:rsidP="009E5804">
            <w:pPr>
              <w:spacing w:after="0" w:line="240" w:lineRule="auto"/>
              <w:rPr>
                <w:rFonts w:ascii="Times New Roman" w:eastAsia="Times New Roman" w:hAnsi="Times New Roman" w:cs="Times New Roman"/>
                <w:color w:val="000000"/>
                <w:sz w:val="23"/>
                <w:szCs w:val="23"/>
                <w:lang w:val="ro-RO"/>
              </w:rPr>
            </w:pPr>
          </w:p>
        </w:tc>
      </w:tr>
    </w:tbl>
    <w:p w14:paraId="2E408A96" w14:textId="77777777" w:rsidR="00E57F42" w:rsidRPr="007C266E" w:rsidRDefault="00E57F42" w:rsidP="009E5804">
      <w:pPr>
        <w:spacing w:after="0" w:line="240" w:lineRule="auto"/>
        <w:jc w:val="both"/>
        <w:rPr>
          <w:rFonts w:ascii="Times New Roman" w:hAnsi="Times New Roman" w:cs="Times New Roman"/>
          <w:sz w:val="23"/>
          <w:szCs w:val="23"/>
          <w:lang w:val="ro-RO"/>
        </w:rPr>
        <w:sectPr w:rsidR="00E57F42" w:rsidRPr="007C266E" w:rsidSect="0089425F">
          <w:type w:val="continuous"/>
          <w:pgSz w:w="12240" w:h="15840"/>
          <w:pgMar w:top="1440" w:right="1440" w:bottom="1440" w:left="1440" w:header="720" w:footer="720" w:gutter="0"/>
          <w:cols w:space="720"/>
          <w:docGrid w:linePitch="360"/>
        </w:sectPr>
      </w:pPr>
    </w:p>
    <w:p w14:paraId="7D116ADD"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03DA057" w14:textId="77777777" w:rsidR="009A53AA" w:rsidRPr="007C266E" w:rsidRDefault="009A53AA" w:rsidP="009E5804">
      <w:pPr>
        <w:spacing w:after="0" w:line="240" w:lineRule="auto"/>
        <w:jc w:val="both"/>
        <w:rPr>
          <w:rFonts w:ascii="Times New Roman" w:hAnsi="Times New Roman" w:cs="Times New Roman"/>
          <w:b/>
          <w:sz w:val="23"/>
          <w:szCs w:val="23"/>
          <w:lang w:val="ro-RO"/>
        </w:rPr>
      </w:pPr>
    </w:p>
    <w:p w14:paraId="2777CF87"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(OP1) MIX ENERGETIC DIVERSIFICAT ȘI ECHILIBRAT</w:t>
      </w:r>
    </w:p>
    <w:p w14:paraId="3A61414A"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AP1a: Continuarea exploatării sustenabile a tuturor tipurilor de resurse energetice primare ale țării</w:t>
      </w:r>
      <w:r w:rsidR="00654872" w:rsidRPr="007C266E">
        <w:rPr>
          <w:rFonts w:ascii="Times New Roman" w:hAnsi="Times New Roman" w:cs="Times New Roman"/>
          <w:sz w:val="23"/>
          <w:szCs w:val="23"/>
          <w:lang w:val="ro-RO"/>
        </w:rPr>
        <w:t>, care pot contribui la atingerea țintelor și obiectivelor stabilite prin PNIESC</w:t>
      </w:r>
      <w:r w:rsidRPr="007C266E">
        <w:rPr>
          <w:rFonts w:ascii="Times New Roman" w:hAnsi="Times New Roman" w:cs="Times New Roman"/>
          <w:sz w:val="23"/>
          <w:szCs w:val="23"/>
          <w:lang w:val="ro-RO"/>
        </w:rPr>
        <w:t>.</w:t>
      </w:r>
    </w:p>
    <w:p w14:paraId="6F79ACE4" w14:textId="77777777" w:rsidR="009E40F6"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AP1b: Menținerea unui parc diversificat și flexibil al capacităților de producție de energie </w:t>
      </w:r>
    </w:p>
    <w:p w14:paraId="40128628" w14:textId="29EA9739"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electrică</w:t>
      </w:r>
      <w:r w:rsidR="00671D9F" w:rsidRPr="007C266E">
        <w:rPr>
          <w:rFonts w:ascii="Times New Roman" w:hAnsi="Times New Roman" w:cs="Times New Roman"/>
          <w:sz w:val="23"/>
          <w:szCs w:val="23"/>
          <w:lang w:val="ro-RO"/>
        </w:rPr>
        <w:t>, bazat pe tehnologii cu emisii reduse de carbon</w:t>
      </w:r>
      <w:r w:rsidRPr="007C266E">
        <w:rPr>
          <w:rFonts w:ascii="Times New Roman" w:hAnsi="Times New Roman" w:cs="Times New Roman"/>
          <w:sz w:val="23"/>
          <w:szCs w:val="23"/>
          <w:lang w:val="ro-RO"/>
        </w:rPr>
        <w:t>.</w:t>
      </w:r>
    </w:p>
    <w:p w14:paraId="43A1E3B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AP1c: Adoptarea de tehnologii avansate în sectorul energetic, prin atragerea de investiții private, prin susținerea cercetării științifice și prin dezvoltarea parteneriatelor strategice.</w:t>
      </w:r>
    </w:p>
    <w:p w14:paraId="34AA7977" w14:textId="77777777" w:rsidR="008446E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AP1d: Dezvoltarea de capacități de producție a energiei electrice cu emisii reduse de GES – nuclear, SRE, hidroenergie.</w:t>
      </w:r>
    </w:p>
    <w:p w14:paraId="0B029FBA"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7EB65FB5"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(OP2) PUNEREA ÎN VALOARE DE NOI ZĂCĂMINTE DE RESURSE PRIMARE PENTRU MENȚINEREA UNUI NIVEL SCĂZUT DE DEPENDENȚĂ ENERGETICĂ ȘI PENTRU SIGURANȚA ÎN FUNCȚIONARE A SEN</w:t>
      </w:r>
    </w:p>
    <w:p w14:paraId="3582AB5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 xml:space="preserve">AP2a: Un mediu investițional stimulativ pentru explorarea și dezvoltarea </w:t>
      </w:r>
      <w:r w:rsidR="00B03CBD" w:rsidRPr="007C266E">
        <w:rPr>
          <w:rFonts w:ascii="Times New Roman" w:hAnsi="Times New Roman" w:cs="Times New Roman"/>
          <w:sz w:val="23"/>
          <w:szCs w:val="23"/>
          <w:lang w:val="ro-RO"/>
        </w:rPr>
        <w:t xml:space="preserve">în condiții de eficiență tehnio-economică </w:t>
      </w:r>
      <w:r w:rsidRPr="007C266E">
        <w:rPr>
          <w:rFonts w:ascii="Times New Roman" w:hAnsi="Times New Roman" w:cs="Times New Roman"/>
          <w:sz w:val="23"/>
          <w:szCs w:val="23"/>
          <w:lang w:val="ro-RO"/>
        </w:rPr>
        <w:t>de zăcăminte de țiței, gaze naturale și lignit, precum și pentru creșterea gradului de recuperare din zăcămintele mature.</w:t>
      </w:r>
    </w:p>
    <w:p w14:paraId="70F45443"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AP2b: Asigurarea la timp a infrastru</w:t>
      </w:r>
      <w:r w:rsidR="00DD790C" w:rsidRPr="007C266E">
        <w:rPr>
          <w:rFonts w:ascii="Times New Roman" w:hAnsi="Times New Roman" w:cs="Times New Roman"/>
          <w:sz w:val="23"/>
          <w:szCs w:val="23"/>
          <w:lang w:val="ro-RO"/>
        </w:rPr>
        <w:t>cturii necesare pentru accesul</w:t>
      </w:r>
      <w:r w:rsidRPr="007C266E">
        <w:rPr>
          <w:rFonts w:ascii="Times New Roman" w:hAnsi="Times New Roman" w:cs="Times New Roman"/>
          <w:sz w:val="23"/>
          <w:szCs w:val="23"/>
          <w:lang w:val="ro-RO"/>
        </w:rPr>
        <w:t xml:space="preserve"> la piață a producției din noile zăcăminte de gaze naturale.</w:t>
      </w:r>
    </w:p>
    <w:p w14:paraId="685193D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AP2c: Stabilirea zonelor de dezvoltare pentru capacități energetice care utilizează surse regenerabile</w:t>
      </w:r>
      <w:r w:rsidR="007A39DE" w:rsidRPr="007C266E">
        <w:rPr>
          <w:rFonts w:ascii="Times New Roman" w:hAnsi="Times New Roman" w:cs="Times New Roman"/>
          <w:sz w:val="23"/>
          <w:szCs w:val="23"/>
          <w:lang w:val="ro-RO"/>
        </w:rPr>
        <w:t xml:space="preserve"> de energie</w:t>
      </w:r>
      <w:r w:rsidR="00671D9F" w:rsidRPr="007C266E">
        <w:rPr>
          <w:rFonts w:ascii="Times New Roman" w:hAnsi="Times New Roman" w:cs="Times New Roman"/>
          <w:sz w:val="23"/>
          <w:szCs w:val="23"/>
          <w:lang w:val="ro-RO"/>
        </w:rPr>
        <w:t>, inclusiv utilizarea potențialului off-shore wind din Marea Neagră</w:t>
      </w:r>
      <w:r w:rsidRPr="007C266E">
        <w:rPr>
          <w:rFonts w:ascii="Times New Roman" w:hAnsi="Times New Roman" w:cs="Times New Roman"/>
          <w:sz w:val="23"/>
          <w:szCs w:val="23"/>
          <w:lang w:val="ro-RO"/>
        </w:rPr>
        <w:t>.</w:t>
      </w:r>
    </w:p>
    <w:p w14:paraId="1CA25323" w14:textId="77777777" w:rsidR="00E20C81" w:rsidRPr="007C266E" w:rsidRDefault="00E20C8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AP2d: Deblocarea investițiilor offshore de gaze naturale din Marea Neagră</w:t>
      </w:r>
    </w:p>
    <w:p w14:paraId="1A5C34FE" w14:textId="77777777" w:rsidR="00C56BBA" w:rsidRPr="007C266E" w:rsidRDefault="00C56BBA"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AP2e: Încurajarea utilizării gazului natural produs în România la producția de energie electrică și la crearea de produse petrochimice și chimice cu valoare adăugată mare</w:t>
      </w:r>
    </w:p>
    <w:p w14:paraId="5E69AE7E"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1757F6C9"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(OP3) CREȘTEREA CAPACITĂȚILOR DE INTERCONECTARE A REȚELELOR DE TRANSPORT DE ENERGIE</w:t>
      </w:r>
    </w:p>
    <w:p w14:paraId="24A33CC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AP3a: Stabilirea culoarelor rețelelor de transport de energie și instituirea unui cadru special de reglementări pentru asigurarea </w:t>
      </w:r>
      <w:r w:rsidRPr="007C266E">
        <w:rPr>
          <w:rFonts w:ascii="Times New Roman" w:hAnsi="Times New Roman" w:cs="Times New Roman"/>
          <w:sz w:val="23"/>
          <w:szCs w:val="23"/>
          <w:lang w:val="ro-RO"/>
        </w:rPr>
        <w:lastRenderedPageBreak/>
        <w:t xml:space="preserve">terenurilor, autorizărilor și altor măsuri necesare pentru executarea acestora. </w:t>
      </w:r>
    </w:p>
    <w:p w14:paraId="255FB49A"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AP3b: Asigurarea surselor de finanțare pentru dezvoltarea capacităților de interconectare cu flux bidirecțional și a componentelor aferente din sistemele naționale de transport de energie.</w:t>
      </w:r>
    </w:p>
    <w:p w14:paraId="63A039A8" w14:textId="77777777" w:rsidR="00EB009D" w:rsidRPr="007C266E" w:rsidRDefault="00EB009D" w:rsidP="00537455">
      <w:pPr>
        <w:spacing w:after="0" w:line="240" w:lineRule="auto"/>
        <w:jc w:val="both"/>
        <w:rPr>
          <w:rFonts w:ascii="Times New Roman" w:hAnsi="Times New Roman" w:cs="Times New Roman"/>
          <w:sz w:val="23"/>
          <w:szCs w:val="23"/>
          <w:lang w:val="ro-RO"/>
        </w:rPr>
      </w:pPr>
    </w:p>
    <w:p w14:paraId="14D0C756"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AP3c: Coordonarea la nivel regional pentru dezvoltarea la timp, finanțarea și exploatarea proiectelor internaționale de infrastructură energetică. </w:t>
      </w:r>
    </w:p>
    <w:p w14:paraId="287BF7E6" w14:textId="77777777" w:rsidR="00A05AD9" w:rsidRPr="007C266E" w:rsidRDefault="00A05AD9" w:rsidP="009E5804">
      <w:pPr>
        <w:spacing w:after="0" w:line="240" w:lineRule="auto"/>
        <w:jc w:val="both"/>
        <w:rPr>
          <w:rFonts w:ascii="Times New Roman" w:hAnsi="Times New Roman" w:cs="Times New Roman"/>
          <w:sz w:val="23"/>
          <w:szCs w:val="23"/>
          <w:lang w:val="ro-RO"/>
        </w:rPr>
      </w:pPr>
    </w:p>
    <w:p w14:paraId="36E1FB3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AP3d: Armonizarea codurilor de rețea și a tarifelor de intrare/ieșire în/din sistemele naționale de transport de energie, în sensul facilitării fluxurilor de energie la nivel regional.</w:t>
      </w:r>
    </w:p>
    <w:p w14:paraId="16700DFB"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AP3e: Închiderea inelului de 400 kV în sistemul național de transport al energiei electrice.</w:t>
      </w:r>
    </w:p>
    <w:p w14:paraId="63D52036"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AP3f: Realizarea unor linii noi care să lege capacitățile noi de producție cu punctele de interconectare.</w:t>
      </w:r>
    </w:p>
    <w:p w14:paraId="0241A325"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AP3g: Reabilitarea sistemelor de transport al hidrocarburilor.</w:t>
      </w:r>
    </w:p>
    <w:p w14:paraId="2B1C68A8"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7BE7C0EF"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(OP4) ASIGURAREA CAPACITĂȚII DE STOCARE DE ENERGIE ȘI A SISTEMELOR DE REZERVĂ</w:t>
      </w:r>
    </w:p>
    <w:p w14:paraId="04E181BF"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AP4a: Constituirea de stocuri obligatorii de țiței, produse petroliere și gaze naturale.</w:t>
      </w:r>
    </w:p>
    <w:p w14:paraId="5A3B25AC" w14:textId="77777777" w:rsidR="008D5BFF" w:rsidRPr="007C266E" w:rsidRDefault="008D5BFF"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AP4b: Dezvoltarea de capacități și produse flexibile de înmagazinare subterană a gazelor naturale, capabile să răspundă necesităților de asigurare a siguranței în aprovizionare cu gaze naturale a consumatorilor finali precum și specificităților pieței de gaze naturale per ansamblu. </w:t>
      </w:r>
    </w:p>
    <w:p w14:paraId="2A21148C" w14:textId="77777777" w:rsidR="00523E76"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AP4</w:t>
      </w:r>
      <w:r w:rsidR="008D5BFF" w:rsidRPr="007C266E">
        <w:rPr>
          <w:rFonts w:ascii="Times New Roman" w:hAnsi="Times New Roman" w:cs="Times New Roman"/>
          <w:sz w:val="23"/>
          <w:szCs w:val="23"/>
          <w:lang w:val="ro-RO"/>
        </w:rPr>
        <w:t>c</w:t>
      </w:r>
      <w:r w:rsidRPr="007C266E">
        <w:rPr>
          <w:rFonts w:ascii="Times New Roman" w:hAnsi="Times New Roman" w:cs="Times New Roman"/>
          <w:sz w:val="23"/>
          <w:szCs w:val="23"/>
          <w:lang w:val="ro-RO"/>
        </w:rPr>
        <w:t xml:space="preserve">: Dezvoltarea de capacități și mecanisme de integrare a SRE intermitente în SEN, în sisteme de acumulatori electrici, inclusiv mici capacități de stocare la locația </w:t>
      </w:r>
      <w:r w:rsidR="00F46422" w:rsidRPr="007C266E">
        <w:rPr>
          <w:rFonts w:ascii="Times New Roman" w:hAnsi="Times New Roman" w:cs="Times New Roman"/>
          <w:sz w:val="23"/>
          <w:szCs w:val="23"/>
          <w:lang w:val="ro-RO"/>
        </w:rPr>
        <w:t>prosumator</w:t>
      </w:r>
      <w:r w:rsidR="00AB40BF"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ului.</w:t>
      </w:r>
    </w:p>
    <w:p w14:paraId="521E0943" w14:textId="77777777" w:rsidR="00523E76" w:rsidRPr="007C266E" w:rsidRDefault="00523E76"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AP4</w:t>
      </w:r>
      <w:r w:rsidR="008D5BFF" w:rsidRPr="007C266E">
        <w:rPr>
          <w:rFonts w:ascii="Times New Roman" w:hAnsi="Times New Roman" w:cs="Times New Roman"/>
          <w:sz w:val="23"/>
          <w:szCs w:val="23"/>
          <w:lang w:val="ro-RO"/>
        </w:rPr>
        <w:t>d</w:t>
      </w:r>
      <w:r w:rsidRPr="007C266E">
        <w:rPr>
          <w:rFonts w:ascii="Times New Roman" w:hAnsi="Times New Roman" w:cs="Times New Roman"/>
          <w:sz w:val="23"/>
          <w:szCs w:val="23"/>
          <w:lang w:val="ro-RO"/>
        </w:rPr>
        <w:t>: Dezvoltare</w:t>
      </w:r>
      <w:r w:rsidR="009C2C8F"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 xml:space="preserve"> sustenabilă a producției de hidrogen</w:t>
      </w:r>
      <w:r w:rsidR="005E6F24" w:rsidRPr="007C266E">
        <w:rPr>
          <w:rFonts w:ascii="Times New Roman" w:hAnsi="Times New Roman" w:cs="Times New Roman"/>
          <w:sz w:val="23"/>
          <w:szCs w:val="23"/>
          <w:lang w:val="ro-RO"/>
        </w:rPr>
        <w:t xml:space="preserve"> curat </w:t>
      </w:r>
      <w:r w:rsidRPr="007C266E">
        <w:rPr>
          <w:rFonts w:ascii="Times New Roman" w:hAnsi="Times New Roman" w:cs="Times New Roman"/>
          <w:sz w:val="23"/>
          <w:szCs w:val="23"/>
          <w:lang w:val="ro-RO"/>
        </w:rPr>
        <w:t>pe teritoriul României</w:t>
      </w:r>
      <w:r w:rsidR="005E6F24" w:rsidRPr="007C266E">
        <w:rPr>
          <w:rFonts w:ascii="Times New Roman" w:hAnsi="Times New Roman" w:cs="Times New Roman"/>
          <w:sz w:val="23"/>
          <w:szCs w:val="23"/>
          <w:lang w:val="ro-RO"/>
        </w:rPr>
        <w:t>, în contextul decarbonării și atingerii obiectivelor de neutralitate climatică.</w:t>
      </w:r>
    </w:p>
    <w:p w14:paraId="65563757"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3795E2F1"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lastRenderedPageBreak/>
        <w:t>(OP5) CREȘTEREA FLEXIBILITĂȚII SISTEMULUI ENERGETIC NAȚIONAL PRIN DIGITALIZARE, REȚELE INTELIGENTE ȘI PRIN DEZVOLTAREA CATEGORIEI CONSUMATORILOR ACTIVI (</w:t>
      </w:r>
      <w:r w:rsidR="00F46422" w:rsidRPr="007C266E">
        <w:rPr>
          <w:rFonts w:ascii="Times New Roman" w:hAnsi="Times New Roman" w:cs="Times New Roman"/>
          <w:b/>
          <w:sz w:val="23"/>
          <w:szCs w:val="23"/>
          <w:lang w:val="ro-RO"/>
        </w:rPr>
        <w:t>PROSUMATOR</w:t>
      </w:r>
      <w:r w:rsidRPr="007C266E">
        <w:rPr>
          <w:rFonts w:ascii="Times New Roman" w:hAnsi="Times New Roman" w:cs="Times New Roman"/>
          <w:b/>
          <w:sz w:val="23"/>
          <w:szCs w:val="23"/>
          <w:lang w:val="ro-RO"/>
        </w:rPr>
        <w:t>)</w:t>
      </w:r>
    </w:p>
    <w:p w14:paraId="0C300554"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AP5a: Digitalizarea sistemului energetic național în segmentele de transport, distribuție și consum.</w:t>
      </w:r>
    </w:p>
    <w:p w14:paraId="29492FD3"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AP5b: Încurajarea </w:t>
      </w:r>
      <w:r w:rsidR="00F46422" w:rsidRPr="007C266E">
        <w:rPr>
          <w:rFonts w:ascii="Times New Roman" w:hAnsi="Times New Roman" w:cs="Times New Roman"/>
          <w:sz w:val="23"/>
          <w:szCs w:val="23"/>
          <w:lang w:val="ro-RO"/>
        </w:rPr>
        <w:t>prosumator</w:t>
      </w:r>
      <w:r w:rsidR="0026232D" w:rsidRPr="007C266E">
        <w:rPr>
          <w:rFonts w:ascii="Times New Roman" w:hAnsi="Times New Roman" w:cs="Times New Roman"/>
          <w:sz w:val="23"/>
          <w:szCs w:val="23"/>
          <w:lang w:val="ro-RO"/>
        </w:rPr>
        <w:t>i</w:t>
      </w:r>
      <w:r w:rsidRPr="007C266E">
        <w:rPr>
          <w:rFonts w:ascii="Times New Roman" w:hAnsi="Times New Roman" w:cs="Times New Roman"/>
          <w:sz w:val="23"/>
          <w:szCs w:val="23"/>
          <w:lang w:val="ro-RO"/>
        </w:rPr>
        <w:t>lor, atât casnici, cât și industriali și agricoli, concomitent cu dezvoltarea rețelelor și a contoarelor inteligente.</w:t>
      </w:r>
    </w:p>
    <w:p w14:paraId="77BC6FFD" w14:textId="77777777" w:rsidR="00E20C8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AP5c: Integrarea sistemelor de producție distribuită și a </w:t>
      </w:r>
      <w:r w:rsidR="00F46422" w:rsidRPr="007C266E">
        <w:rPr>
          <w:rFonts w:ascii="Times New Roman" w:hAnsi="Times New Roman" w:cs="Times New Roman"/>
          <w:sz w:val="23"/>
          <w:szCs w:val="23"/>
          <w:lang w:val="ro-RO"/>
        </w:rPr>
        <w:t>prosumator</w:t>
      </w:r>
      <w:r w:rsidR="0026232D" w:rsidRPr="007C266E">
        <w:rPr>
          <w:rFonts w:ascii="Times New Roman" w:hAnsi="Times New Roman" w:cs="Times New Roman"/>
          <w:sz w:val="23"/>
          <w:szCs w:val="23"/>
          <w:lang w:val="ro-RO"/>
        </w:rPr>
        <w:t>i</w:t>
      </w:r>
      <w:r w:rsidRPr="007C266E">
        <w:rPr>
          <w:rFonts w:ascii="Times New Roman" w:hAnsi="Times New Roman" w:cs="Times New Roman"/>
          <w:sz w:val="23"/>
          <w:szCs w:val="23"/>
          <w:lang w:val="ro-RO"/>
        </w:rPr>
        <w:t>lor în sistemul electroenergetic.</w:t>
      </w:r>
    </w:p>
    <w:p w14:paraId="132141E9"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7DEA4B00"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(OP6) PROTECȚIA INFRASTRUCTURII CRITICE ÎMPOTRIVA ATACURILOR FIZICE, INFORMATICE ȘI A CALAMITĂȚILOR</w:t>
      </w:r>
    </w:p>
    <w:p w14:paraId="204C4A85"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AP6a: Implementarea de măsuri de securizare fizică a infrastructurii critice față de posibile acte teroriste.</w:t>
      </w:r>
    </w:p>
    <w:p w14:paraId="29D38C30"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AP6b: Securitatea informatică a sistemelor de control a rețelelor energetice prin întărirea barierelor de protecție, precum și prin cooperare internațională.</w:t>
      </w:r>
    </w:p>
    <w:p w14:paraId="33B5C5EF"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AP6c: Asigurarea mentenanței și a lucrărilor de modernizare a sistemului energetic în ansamblul său pentru menținerea la standarde de siguranță a obiectivelor critice (lacuri, diguri, baraje </w:t>
      </w:r>
      <w:r w:rsidR="0026232D" w:rsidRPr="007C266E">
        <w:rPr>
          <w:rFonts w:ascii="Times New Roman" w:hAnsi="Times New Roman" w:cs="Times New Roman"/>
          <w:sz w:val="23"/>
          <w:szCs w:val="23"/>
          <w:lang w:val="ro-RO"/>
        </w:rPr>
        <w:t>etc.</w:t>
      </w:r>
      <w:r w:rsidRPr="007C266E">
        <w:rPr>
          <w:rFonts w:ascii="Times New Roman" w:hAnsi="Times New Roman" w:cs="Times New Roman"/>
          <w:sz w:val="23"/>
          <w:szCs w:val="23"/>
          <w:lang w:val="ro-RO"/>
        </w:rPr>
        <w:t>).</w:t>
      </w:r>
    </w:p>
    <w:p w14:paraId="5F773A03"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AP6d: Operaționalizarea sistemelor de avertizare/alarmare a populației și realizarea exercițiilor de apărare civilă.</w:t>
      </w:r>
    </w:p>
    <w:p w14:paraId="7BF97D46"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2D47CDC2"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(OP7) PARTICIPAREA PROACTIVĂ A ROMÂNIEI LA INIȚIATIVELE EUROPENE DE DIPLOMAȚIE ENERGETICĂ</w:t>
      </w:r>
    </w:p>
    <w:p w14:paraId="36AD518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AP7a: Participarea României la configurarea mecanismelor de solidaritate pentru asigurarea securității energetice în situații de criză a aprovizionării cu energie.</w:t>
      </w:r>
    </w:p>
    <w:p w14:paraId="321DC83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AP7b: Participarea României la stadiile incipiente de elaborare a documentelor </w:t>
      </w:r>
      <w:r w:rsidRPr="007C266E">
        <w:rPr>
          <w:rFonts w:ascii="Times New Roman" w:hAnsi="Times New Roman" w:cs="Times New Roman"/>
          <w:sz w:val="23"/>
          <w:szCs w:val="23"/>
          <w:lang w:val="ro-RO"/>
        </w:rPr>
        <w:lastRenderedPageBreak/>
        <w:t>europene cu caracter normativ și strategic, în sensul promovării intereselor naționale.</w:t>
      </w:r>
    </w:p>
    <w:p w14:paraId="3B97B356"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AP7c: Creșterea capacității României de a atrage finanțare europeană pentru dezvoltarea proiectelor de infrastructură strategică și a programelor de eficiență energetică.</w:t>
      </w:r>
    </w:p>
    <w:p w14:paraId="45C7C8A7"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AP7d: Demersuri diplomatice de aderare a României la Organizația Economică de Cooperare și Dezvoltare și implicare în activitățile Agenției Internaționale pentru Energie.</w:t>
      </w:r>
    </w:p>
    <w:p w14:paraId="1C69836A"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16E33DB2"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(OP8) </w:t>
      </w:r>
      <w:r w:rsidR="00B60D2C" w:rsidRPr="007C266E">
        <w:rPr>
          <w:rFonts w:ascii="Times New Roman" w:hAnsi="Times New Roman" w:cs="Times New Roman"/>
          <w:b/>
          <w:sz w:val="23"/>
          <w:szCs w:val="23"/>
          <w:lang w:val="ro-RO"/>
        </w:rPr>
        <w:t xml:space="preserve">DEZVOLTAREA </w:t>
      </w:r>
      <w:r w:rsidRPr="007C266E">
        <w:rPr>
          <w:rFonts w:ascii="Times New Roman" w:hAnsi="Times New Roman" w:cs="Times New Roman"/>
          <w:b/>
          <w:sz w:val="23"/>
          <w:szCs w:val="23"/>
          <w:lang w:val="ro-RO"/>
        </w:rPr>
        <w:t>PARTENERIATELOR STRATEGICE ALE ROMÂNIEI PE DIMENSIUNEA ENERGETICĂ</w:t>
      </w:r>
    </w:p>
    <w:p w14:paraId="26C29462"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AP8a: Atragerea investițiilor companiilor energetice de vârf în sectorul energetic românesc.</w:t>
      </w:r>
    </w:p>
    <w:p w14:paraId="11C3285B"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AP8b: Dezvoltarea cooperării în domeniul cercetării științifice și a transferului de know-how.</w:t>
      </w:r>
    </w:p>
    <w:p w14:paraId="06EFD9B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AP8c: Cooperare</w:t>
      </w:r>
      <w:r w:rsidR="007A39DE"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 xml:space="preserve"> cu autoritățile statelor partenere pentru creșterea securității infrastructurii.</w:t>
      </w:r>
    </w:p>
    <w:p w14:paraId="3A8107B8"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0311F271"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(OP9) ÎNLOCUIREA, LA ORIZONTUL ANULUI 2030, A CAPACITĂȚILOR DE PRODUCȚIE DE ENERGIE ELECTRICĂ C</w:t>
      </w:r>
      <w:r w:rsidR="007A39DE" w:rsidRPr="007C266E">
        <w:rPr>
          <w:rFonts w:ascii="Times New Roman" w:hAnsi="Times New Roman" w:cs="Times New Roman"/>
          <w:b/>
          <w:sz w:val="23"/>
          <w:szCs w:val="23"/>
          <w:lang w:val="ro-RO"/>
        </w:rPr>
        <w:t>AR</w:t>
      </w:r>
      <w:r w:rsidRPr="007C266E">
        <w:rPr>
          <w:rFonts w:ascii="Times New Roman" w:hAnsi="Times New Roman" w:cs="Times New Roman"/>
          <w:b/>
          <w:sz w:val="23"/>
          <w:szCs w:val="23"/>
          <w:lang w:val="ro-RO"/>
        </w:rPr>
        <w:t>E VOR IEȘI DIN EXPLOATARE CU CAPACITĂȚI NOI, EFICIENTE ȘI CU EMISII REDUSE</w:t>
      </w:r>
    </w:p>
    <w:p w14:paraId="628E8F4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AP9a: Investiții în capacități noi de generare a energiei electrice, sub constrângerea realizării obiectivelor de securitate energetică, competitivitate și decarbonare a sectorului energetic.</w:t>
      </w:r>
    </w:p>
    <w:p w14:paraId="121C43EF"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AP9b: Asigurarea unui cadru de neutralitate tehnologică pentru dezvoltarea mixului energetic național.</w:t>
      </w:r>
    </w:p>
    <w:p w14:paraId="6166F2D3"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AP9c: Asigurarea mecanismelor de finanțare pentru investițiile în capacități </w:t>
      </w:r>
      <w:r w:rsidR="00017DB2" w:rsidRPr="007C266E">
        <w:rPr>
          <w:rFonts w:ascii="Times New Roman" w:hAnsi="Times New Roman" w:cs="Times New Roman"/>
          <w:sz w:val="23"/>
          <w:szCs w:val="23"/>
          <w:lang w:val="ro-RO"/>
        </w:rPr>
        <w:t xml:space="preserve">noi </w:t>
      </w:r>
      <w:r w:rsidRPr="007C266E">
        <w:rPr>
          <w:rFonts w:ascii="Times New Roman" w:hAnsi="Times New Roman" w:cs="Times New Roman"/>
          <w:sz w:val="23"/>
          <w:szCs w:val="23"/>
          <w:lang w:val="ro-RO"/>
        </w:rPr>
        <w:t>de producere a energiei electrice fără emisii de GES, în condiții de eficiență economică.</w:t>
      </w:r>
    </w:p>
    <w:p w14:paraId="457E8209"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214F7700"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(OP10) CREȘTEREA EFICIENȚEI ENERGETICE PE ÎNTREG LANȚUL VALORIC AL SECTORULUI ENERGETIC</w:t>
      </w:r>
    </w:p>
    <w:p w14:paraId="00950BC7"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 xml:space="preserve">AP10a: Definirea clară a conceptului de „eficiență energetică” în sensul în care acesta corespunde creșterii randamentelor și reducerii pierderilor, în condițiile creșterii economice și a consumului. </w:t>
      </w:r>
    </w:p>
    <w:p w14:paraId="70F17D6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AP10b: Valorificarea potențialului de eficiență energetică în sectorul clădirilor, prin programe de izolare termică în sectorul public, al blocurilor de locuințe și al comunităților afectate de sărăcie energetică</w:t>
      </w:r>
      <w:r w:rsidR="00F02A89" w:rsidRPr="007C266E">
        <w:rPr>
          <w:rFonts w:ascii="Times New Roman" w:hAnsi="Times New Roman" w:cs="Times New Roman"/>
          <w:sz w:val="23"/>
          <w:szCs w:val="23"/>
          <w:lang w:val="ro-RO"/>
        </w:rPr>
        <w:t xml:space="preserve"> și implementarea Strategiei de Renovare pe Termen Lung</w:t>
      </w:r>
      <w:r w:rsidRPr="007C266E">
        <w:rPr>
          <w:rFonts w:ascii="Times New Roman" w:hAnsi="Times New Roman" w:cs="Times New Roman"/>
          <w:sz w:val="23"/>
          <w:szCs w:val="23"/>
          <w:lang w:val="ro-RO"/>
        </w:rPr>
        <w:t>.</w:t>
      </w:r>
    </w:p>
    <w:p w14:paraId="7B6597E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AP10c: Abordarea integrată a sectorului de încălzire centralizată a clădirilor, cu coordonarea proiectelor de investiții pe lanțul valoric – producție, transport și consum eficient al agentului termic.</w:t>
      </w:r>
    </w:p>
    <w:p w14:paraId="0381BECF"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AP10d: Dezvoltarea contorizării inteligente și a rețelelor inteligente.</w:t>
      </w:r>
    </w:p>
    <w:p w14:paraId="2381B3BD"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AP10e: Implementarea de măsuri de diminuare a pierderilor tehnice de rețea și de combatere a furturilor de energie.</w:t>
      </w:r>
    </w:p>
    <w:p w14:paraId="41D91767" w14:textId="77777777" w:rsidR="00EE4C0C" w:rsidRPr="007C266E" w:rsidRDefault="00EE4C0C" w:rsidP="009E5804">
      <w:pPr>
        <w:spacing w:after="0" w:line="240" w:lineRule="auto"/>
        <w:jc w:val="both"/>
        <w:rPr>
          <w:rFonts w:ascii="Times New Roman" w:hAnsi="Times New Roman" w:cs="Times New Roman"/>
          <w:sz w:val="23"/>
          <w:szCs w:val="23"/>
          <w:lang w:val="ro-RO"/>
        </w:rPr>
      </w:pPr>
    </w:p>
    <w:p w14:paraId="406397AB"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(OP11) CREȘTEREA CONCURENȚEI PE PIEȚELE INTERNE DE ENERGIE</w:t>
      </w:r>
    </w:p>
    <w:p w14:paraId="47BE5F60"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AP11a: Dezv</w:t>
      </w:r>
      <w:r w:rsidR="00017DB2" w:rsidRPr="007C266E">
        <w:rPr>
          <w:rFonts w:ascii="Times New Roman" w:hAnsi="Times New Roman" w:cs="Times New Roman"/>
          <w:sz w:val="23"/>
          <w:szCs w:val="23"/>
          <w:lang w:val="ro-RO"/>
        </w:rPr>
        <w:t>oltarea pieței interne a gazelor</w:t>
      </w:r>
      <w:r w:rsidRPr="007C266E">
        <w:rPr>
          <w:rFonts w:ascii="Times New Roman" w:hAnsi="Times New Roman" w:cs="Times New Roman"/>
          <w:sz w:val="23"/>
          <w:szCs w:val="23"/>
          <w:lang w:val="ro-RO"/>
        </w:rPr>
        <w:t xml:space="preserve"> natural</w:t>
      </w:r>
      <w:r w:rsidR="00017DB2"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w:t>
      </w:r>
      <w:r w:rsidR="00017DB2"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 xml:space="preserve">prin creșterea volumelor tranzacționate și a lichidității, și cuplarea ulterioară a acesteia la piața europeană a </w:t>
      </w:r>
      <w:r w:rsidR="00BA1FBD" w:rsidRPr="007C266E">
        <w:rPr>
          <w:rFonts w:ascii="Times New Roman" w:hAnsi="Times New Roman" w:cs="Times New Roman"/>
          <w:sz w:val="23"/>
          <w:szCs w:val="23"/>
          <w:lang w:val="ro-RO"/>
        </w:rPr>
        <w:t>gazelor naturale</w:t>
      </w:r>
      <w:r w:rsidRPr="007C266E">
        <w:rPr>
          <w:rFonts w:ascii="Times New Roman" w:hAnsi="Times New Roman" w:cs="Times New Roman"/>
          <w:sz w:val="23"/>
          <w:szCs w:val="23"/>
          <w:lang w:val="ro-RO"/>
        </w:rPr>
        <w:t>.</w:t>
      </w:r>
    </w:p>
    <w:p w14:paraId="6D5DC10F"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AP11</w:t>
      </w:r>
      <w:r w:rsidR="0077353C" w:rsidRPr="007C266E">
        <w:rPr>
          <w:rFonts w:ascii="Times New Roman" w:hAnsi="Times New Roman" w:cs="Times New Roman"/>
          <w:sz w:val="23"/>
          <w:szCs w:val="23"/>
          <w:lang w:val="ro-RO"/>
        </w:rPr>
        <w:t>b</w:t>
      </w:r>
      <w:r w:rsidRPr="007C266E">
        <w:rPr>
          <w:rFonts w:ascii="Times New Roman" w:hAnsi="Times New Roman" w:cs="Times New Roman"/>
          <w:sz w:val="23"/>
          <w:szCs w:val="23"/>
          <w:lang w:val="ro-RO"/>
        </w:rPr>
        <w:t>: Integrarea piețelor de energie românești în piața unică europeană a energiei, pentru a crește rolul regional al platformelor bursiere românești în tranzacționarea produselor energetice.</w:t>
      </w:r>
    </w:p>
    <w:p w14:paraId="40C45ED3"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4876A097"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(OP12) LIBERALIZAREA PIEȚELOR DE ENERGIE ȘI INTEGRAREA LOR REGIONALĂ, ASTFEL ÎNCÂT CONSUMATORUL DE ENERGIE SĂ BENEFICIEZE DE CEL MAI BUN PREȚ AL ENERGIEI</w:t>
      </w:r>
    </w:p>
    <w:p w14:paraId="09FB95D4"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AP12a: Creșterea gradului de transparență și de lichiditate a piețelor de energie.</w:t>
      </w:r>
    </w:p>
    <w:p w14:paraId="13AF98BF" w14:textId="77777777" w:rsidR="006104B7" w:rsidRPr="007C266E" w:rsidRDefault="006104B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AP12b: Integrarea în cuplarea unică a piețelor pentru ziua următoare și a piețelor intra zilnice (SDAC și SIDC), în calitate de stat membru.</w:t>
      </w:r>
    </w:p>
    <w:p w14:paraId="528389BD" w14:textId="77777777" w:rsidR="008D5BFF" w:rsidRPr="007C266E" w:rsidRDefault="008D5BFF"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AP12c: Permiterea încheierii contractelor de vânzare a energiei electrice pe termen lung cu </w:t>
      </w:r>
      <w:r w:rsidRPr="007C266E">
        <w:rPr>
          <w:rFonts w:ascii="Times New Roman" w:hAnsi="Times New Roman" w:cs="Times New Roman"/>
          <w:sz w:val="23"/>
          <w:szCs w:val="23"/>
          <w:lang w:val="ro-RO"/>
        </w:rPr>
        <w:lastRenderedPageBreak/>
        <w:t>clienți (PPA) în afara piețelor centralizate, având în vedere că modificări ale cadrului de reglementare secundar sau ale platformelor de tranzacționare pe piețe centralizate nu sunt suficiente pentru a oferi soluții atractive pentru investitori și finanțatori privați, fiind deci necesară o revizuire a prevederilor legislației primare.</w:t>
      </w:r>
    </w:p>
    <w:p w14:paraId="1B47F3E6"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32648909"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(OP13) EFICIENTIZAREA ACTIVITĂȚII ECONOMICE A COMPANIILOR ENERGETICE </w:t>
      </w:r>
      <w:r w:rsidR="00D248E0" w:rsidRPr="007C266E">
        <w:rPr>
          <w:rFonts w:ascii="Times New Roman" w:hAnsi="Times New Roman" w:cs="Times New Roman"/>
          <w:b/>
          <w:sz w:val="23"/>
          <w:szCs w:val="23"/>
          <w:lang w:val="ro-RO"/>
        </w:rPr>
        <w:t>CU CAPITAL</w:t>
      </w:r>
      <w:r w:rsidRPr="007C266E">
        <w:rPr>
          <w:rFonts w:ascii="Times New Roman" w:hAnsi="Times New Roman" w:cs="Times New Roman"/>
          <w:b/>
          <w:sz w:val="23"/>
          <w:szCs w:val="23"/>
          <w:lang w:val="ro-RO"/>
        </w:rPr>
        <w:t xml:space="preserve"> DE STAT</w:t>
      </w:r>
    </w:p>
    <w:p w14:paraId="55E9E6E0"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AP13a: Îmbunătățirea managementului companiilor energetice cu capital de stat în sensul creșterii valorii lor pe termen mediu și lung, fără considerente politice sau sociale.</w:t>
      </w:r>
    </w:p>
    <w:p w14:paraId="094AF998"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AP13b: Eliminarea pierderilor în companiile energetice cu capital de stat. </w:t>
      </w:r>
    </w:p>
    <w:p w14:paraId="1C55E402"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AP13c: Optimizarea economică a portofoliilor de active și de proiecte de investiții ale companiilor energetice de stat.</w:t>
      </w:r>
    </w:p>
    <w:p w14:paraId="2618E583"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2429A2B1"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(OP14) POLITICI ECONOMICE ȘI FISCALE DE STIMULARE A INVESTIȚIILOR ÎN DEZVOLTAREA INDUSTRIEI PRODUCĂTOARE DE ECHIPAMENTE PENTRU SRE, EFICIENȚĂ ENERGETICĂ ȘI ELECTROMOBILITATE</w:t>
      </w:r>
    </w:p>
    <w:p w14:paraId="6C531A71"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AP14a: Valorificarea resurselor naționale de energie primară în cât mai mare măsură în economia internă, pentru a genera un efect de multiplicare economică. </w:t>
      </w:r>
    </w:p>
    <w:p w14:paraId="4B2A5F74"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AP14b: Susținerea cercetării științifice și a investițiilor în producția de echipamente și componente pentru tranziția energetică – tehnologiile SRE, de eficiență energetică și ale </w:t>
      </w:r>
      <w:r w:rsidR="00AB40BF" w:rsidRPr="007C266E">
        <w:rPr>
          <w:rFonts w:ascii="Times New Roman" w:hAnsi="Times New Roman" w:cs="Times New Roman"/>
          <w:sz w:val="23"/>
          <w:szCs w:val="23"/>
          <w:lang w:val="ro-RO"/>
        </w:rPr>
        <w:t>electromobilității</w:t>
      </w:r>
      <w:r w:rsidRPr="007C266E">
        <w:rPr>
          <w:rFonts w:ascii="Times New Roman" w:hAnsi="Times New Roman" w:cs="Times New Roman"/>
          <w:sz w:val="23"/>
          <w:szCs w:val="23"/>
          <w:lang w:val="ro-RO"/>
        </w:rPr>
        <w:t>.</w:t>
      </w:r>
    </w:p>
    <w:p w14:paraId="339CCF77"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21CFD868"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(OP15) REDUCEREA EMISIILOR DE GES ȘI NOXE ÎN SECTORUL ENERGETIC</w:t>
      </w:r>
    </w:p>
    <w:p w14:paraId="3DADCEE5"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AP15a: Activitățile curente și proiectele companiilor din sectorul energetic trebuie să respecte legislația de mediu și să aplice cele mai bune practici internaționale de protecție a mediului.</w:t>
      </w:r>
    </w:p>
    <w:p w14:paraId="4FE6FB1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AP15b: Reducerea în continuare a emisiilor de poluanți în aer, apă și sol, aferente sectorului energetic.</w:t>
      </w:r>
    </w:p>
    <w:p w14:paraId="6B3C4BCB" w14:textId="77777777" w:rsidR="00E57F42"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AP15c: Susținerea cercetării științifice pentru decarbonarea sectorului energetic.</w:t>
      </w:r>
    </w:p>
    <w:p w14:paraId="033496CC" w14:textId="77777777" w:rsidR="00D80904" w:rsidRPr="007C266E" w:rsidRDefault="00D80904"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AP15d: Promovarea combustibililor alternativi.</w:t>
      </w:r>
    </w:p>
    <w:p w14:paraId="1389C0E4" w14:textId="77777777" w:rsidR="00DA6F5D" w:rsidRPr="007C266E" w:rsidRDefault="00DA6F5D"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AP15e: Reducerea volumului și depozitarea în siguranță a deșeurilor radioactive la producător (CNE Cernavodă) și corelarea cu </w:t>
      </w:r>
      <w:r w:rsidRPr="007C266E">
        <w:rPr>
          <w:rFonts w:ascii="Times New Roman" w:hAnsi="Times New Roman" w:cs="Times New Roman"/>
          <w:i/>
          <w:sz w:val="23"/>
          <w:szCs w:val="23"/>
          <w:lang w:val="ro-RO"/>
        </w:rPr>
        <w:t>„Strategia Națională pe termen mediu și lung privind gestionarea în siguranță a combustibilului nuclear uzat</w:t>
      </w:r>
      <w:r w:rsidR="001202CC" w:rsidRPr="007C266E">
        <w:rPr>
          <w:rFonts w:ascii="Times New Roman" w:hAnsi="Times New Roman" w:cs="Times New Roman"/>
          <w:i/>
          <w:sz w:val="23"/>
          <w:szCs w:val="23"/>
          <w:lang w:val="ro-RO"/>
        </w:rPr>
        <w:t xml:space="preserve"> și a deșeurilor radioactive”.</w:t>
      </w:r>
    </w:p>
    <w:p w14:paraId="26B9A7D3"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3B680E96"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(OP16) DEZVOLTAREA SUSTENABILĂ A SECTORULUI ENERGETIC NAȚIONAL, CU PROTECȚIA CALITĂȚII AERULUI, A APEI, A SOLULUI ȘI A BIODIVERSITĂȚII</w:t>
      </w:r>
    </w:p>
    <w:p w14:paraId="22046E88"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AP16a: Organizarea de programe de informare și dezbateri publice privind marile proiecte din energie, cu luarea în considerare a intereselor comunităților locale și a interesului național.</w:t>
      </w:r>
    </w:p>
    <w:p w14:paraId="1F110950"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6B9EF47D"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(OP17) PARTICIPAREA ECHITABILĂ LA EFORTUL COLECTIV AL STATELOR MEMBRE UE DE ATINGERE A ȚINTELOR DE EFICIENȚĂ ENERGETICĂ, DE SRE ȘI DE REDUCERE A EMISIILOR GES</w:t>
      </w:r>
    </w:p>
    <w:p w14:paraId="4C16429D"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AP17</w:t>
      </w:r>
      <w:r w:rsidR="009017E2"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 Participarea echitabilă la realizarea țintelor colective ale statelor membre UE pentru 2030, sub imperativele garantării securității energetice și ale competitivității piețelor de energie.</w:t>
      </w:r>
    </w:p>
    <w:p w14:paraId="0D066DC2" w14:textId="77777777" w:rsidR="009017E2" w:rsidRPr="007C266E" w:rsidRDefault="009017E2"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AP17b: Îndeplinirea țintelor asumate de România pentru anul 2030, conform PNIESC.</w:t>
      </w:r>
    </w:p>
    <w:p w14:paraId="4AAD7475" w14:textId="77777777" w:rsidR="009017E2" w:rsidRPr="007C266E" w:rsidRDefault="009017E2" w:rsidP="009E5804">
      <w:pPr>
        <w:spacing w:after="0" w:line="240" w:lineRule="auto"/>
        <w:jc w:val="both"/>
        <w:rPr>
          <w:rFonts w:ascii="Times New Roman" w:hAnsi="Times New Roman" w:cs="Times New Roman"/>
          <w:sz w:val="23"/>
          <w:szCs w:val="23"/>
          <w:lang w:val="ro-RO"/>
        </w:rPr>
      </w:pPr>
    </w:p>
    <w:p w14:paraId="7B598331" w14:textId="77777777" w:rsidR="00E57F42"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AP17c: Participarea echitabilă la realizarea obiectivului european de </w:t>
      </w:r>
      <w:r w:rsidR="00E20C81" w:rsidRPr="007C266E">
        <w:rPr>
          <w:rFonts w:ascii="Times New Roman" w:hAnsi="Times New Roman" w:cs="Times New Roman"/>
          <w:sz w:val="23"/>
          <w:szCs w:val="23"/>
          <w:lang w:val="ro-RO"/>
        </w:rPr>
        <w:t>a atinge un nivel de emisii „net zero” la nivelul anului 2050</w:t>
      </w:r>
    </w:p>
    <w:p w14:paraId="340AF513" w14:textId="77777777" w:rsidR="00E20C81" w:rsidRPr="007C266E" w:rsidRDefault="00E20C81" w:rsidP="009E5804">
      <w:pPr>
        <w:spacing w:after="0" w:line="240" w:lineRule="auto"/>
        <w:jc w:val="both"/>
        <w:rPr>
          <w:rFonts w:ascii="Times New Roman" w:hAnsi="Times New Roman" w:cs="Times New Roman"/>
          <w:sz w:val="23"/>
          <w:szCs w:val="23"/>
          <w:lang w:val="ro-RO"/>
        </w:rPr>
      </w:pPr>
    </w:p>
    <w:p w14:paraId="2368A090"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(OP18) SEPARAREA FUNCȚIEI STATULUI DE PROPRIETAR ȘI ACȚIONAR DE </w:t>
      </w:r>
      <w:r w:rsidR="00217118" w:rsidRPr="007C266E">
        <w:rPr>
          <w:rFonts w:ascii="Times New Roman" w:hAnsi="Times New Roman" w:cs="Times New Roman"/>
          <w:b/>
          <w:sz w:val="23"/>
          <w:szCs w:val="23"/>
          <w:lang w:val="ro-RO"/>
        </w:rPr>
        <w:t>A</w:t>
      </w:r>
      <w:r w:rsidRPr="007C266E">
        <w:rPr>
          <w:rFonts w:ascii="Times New Roman" w:hAnsi="Times New Roman" w:cs="Times New Roman"/>
          <w:b/>
          <w:sz w:val="23"/>
          <w:szCs w:val="23"/>
          <w:lang w:val="ro-RO"/>
        </w:rPr>
        <w:t>CE</w:t>
      </w:r>
      <w:r w:rsidR="00217118" w:rsidRPr="007C266E">
        <w:rPr>
          <w:rFonts w:ascii="Times New Roman" w:hAnsi="Times New Roman" w:cs="Times New Roman"/>
          <w:b/>
          <w:sz w:val="23"/>
          <w:szCs w:val="23"/>
          <w:lang w:val="ro-RO"/>
        </w:rPr>
        <w:t>E</w:t>
      </w:r>
      <w:r w:rsidRPr="007C266E">
        <w:rPr>
          <w:rFonts w:ascii="Times New Roman" w:hAnsi="Times New Roman" w:cs="Times New Roman"/>
          <w:b/>
          <w:sz w:val="23"/>
          <w:szCs w:val="23"/>
          <w:lang w:val="ro-RO"/>
        </w:rPr>
        <w:t>A DE ARBITRU AL PIEȚEI ENERGETICE</w:t>
      </w:r>
    </w:p>
    <w:p w14:paraId="7FE472CD"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 xml:space="preserve">AP18a: Separarea instituțională a activității statului ca legiuitor, reglementator și elaborator de politici, pe de o parte, de </w:t>
      </w:r>
      <w:r w:rsidR="00217118"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ce</w:t>
      </w:r>
      <w:r w:rsidR="00217118"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a de deținător și administrator de active, pe de altă parte.</w:t>
      </w:r>
    </w:p>
    <w:p w14:paraId="7A150F0A"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14EEFA7B"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(OP19) TRANSPARENTIZAREA ACTULUI ADMINISTRATIV, SIMPLIFICAREA BIROCRAȚIEI ÎN SECTORUL ENERGETIC</w:t>
      </w:r>
    </w:p>
    <w:p w14:paraId="2F0C004D"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AP19a: Reducerea birocrației prin transparentizare, digitalizare și introducerea „ghișeului unic”.</w:t>
      </w:r>
    </w:p>
    <w:p w14:paraId="7A74459D"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AP19b: Introducerea celor mai bune practici privind transparența și responsabilitatea în interacțiunea dintre consumator și sistemul administrativ.</w:t>
      </w:r>
    </w:p>
    <w:p w14:paraId="599F885A"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AP19c: Dezvolta</w:t>
      </w:r>
      <w:r w:rsidR="003D2FA8" w:rsidRPr="007C266E">
        <w:rPr>
          <w:rFonts w:ascii="Times New Roman" w:hAnsi="Times New Roman" w:cs="Times New Roman"/>
          <w:sz w:val="23"/>
          <w:szCs w:val="23"/>
          <w:lang w:val="ro-RO"/>
        </w:rPr>
        <w:t>rea de mecanisme instituționale</w:t>
      </w:r>
      <w:r w:rsidRPr="007C266E">
        <w:rPr>
          <w:rFonts w:ascii="Times New Roman" w:hAnsi="Times New Roman" w:cs="Times New Roman"/>
          <w:sz w:val="23"/>
          <w:szCs w:val="23"/>
          <w:lang w:val="ro-RO"/>
        </w:rPr>
        <w:t xml:space="preserve"> </w:t>
      </w:r>
      <w:r w:rsidR="003D2FA8"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precum avertizorii de integritate</w:t>
      </w:r>
      <w:r w:rsidR="003D2FA8"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publicarea de rapoarte periodice asupra achizițiilor publice realizate și a tuturor sponsorizărilor acordate.</w:t>
      </w:r>
    </w:p>
    <w:p w14:paraId="583EC953"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AP19d: Eliminarea conflictelor de interese în</w:t>
      </w:r>
      <w:r w:rsidR="00AA6241" w:rsidRPr="007C266E">
        <w:rPr>
          <w:rFonts w:ascii="Times New Roman" w:hAnsi="Times New Roman" w:cs="Times New Roman"/>
          <w:sz w:val="23"/>
          <w:szCs w:val="23"/>
          <w:lang w:val="ro-RO"/>
        </w:rPr>
        <w:t>tre</w:t>
      </w:r>
      <w:r w:rsidRPr="007C266E">
        <w:rPr>
          <w:rFonts w:ascii="Times New Roman" w:hAnsi="Times New Roman" w:cs="Times New Roman"/>
          <w:sz w:val="23"/>
          <w:szCs w:val="23"/>
          <w:lang w:val="ro-RO"/>
        </w:rPr>
        <w:t xml:space="preserve"> instituții publice și companii energetice cu capital de stat. </w:t>
      </w:r>
    </w:p>
    <w:p w14:paraId="7BBE4CD1" w14:textId="77777777" w:rsidR="00E57F42" w:rsidRPr="007C266E" w:rsidRDefault="00E57F42" w:rsidP="009E5804">
      <w:pPr>
        <w:spacing w:after="0" w:line="240" w:lineRule="auto"/>
        <w:jc w:val="both"/>
        <w:rPr>
          <w:rFonts w:ascii="Times New Roman" w:hAnsi="Times New Roman" w:cs="Times New Roman"/>
          <w:sz w:val="23"/>
          <w:szCs w:val="23"/>
          <w:lang w:val="ro-RO"/>
        </w:rPr>
      </w:pPr>
    </w:p>
    <w:p w14:paraId="4E95DBB2"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(OP20) SUSȚINEREA EDUCAȚIEI ȘI PROMOVAREA CERCETĂRII ȘTIINȚIFICE</w:t>
      </w:r>
      <w:r w:rsidR="00E2287A" w:rsidRPr="007C266E">
        <w:rPr>
          <w:rFonts w:ascii="Times New Roman" w:hAnsi="Times New Roman" w:cs="Times New Roman"/>
          <w:b/>
          <w:sz w:val="23"/>
          <w:szCs w:val="23"/>
          <w:lang w:val="ro-RO"/>
        </w:rPr>
        <w:t>; SECURITATE ȘI SĂNĂTATE</w:t>
      </w:r>
      <w:r w:rsidR="009A3E60" w:rsidRPr="007C266E">
        <w:rPr>
          <w:rFonts w:ascii="Times New Roman" w:hAnsi="Times New Roman" w:cs="Times New Roman"/>
          <w:b/>
          <w:sz w:val="23"/>
          <w:szCs w:val="23"/>
          <w:lang w:val="ro-RO"/>
        </w:rPr>
        <w:t xml:space="preserve"> </w:t>
      </w:r>
      <w:r w:rsidR="00E2287A" w:rsidRPr="007C266E">
        <w:rPr>
          <w:rFonts w:ascii="Times New Roman" w:hAnsi="Times New Roman" w:cs="Times New Roman"/>
          <w:b/>
          <w:sz w:val="23"/>
          <w:szCs w:val="23"/>
          <w:lang w:val="ro-RO"/>
        </w:rPr>
        <w:t>ÎN MUNCĂ</w:t>
      </w:r>
    </w:p>
    <w:p w14:paraId="661A198C"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AP20a: Dezvoltarea învățământului superior în domeniul energiei și armonizarea sa cu nevoile sectorului energetic. Parteneriate cu industria energetică pentru educație și formare profesională.</w:t>
      </w:r>
    </w:p>
    <w:p w14:paraId="1253008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AP20b: Susținerea învățământului mediu profesional în domeniul energiei.</w:t>
      </w:r>
    </w:p>
    <w:p w14:paraId="15490242"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AP20c: Susținerea activității de cercetare științifică</w:t>
      </w:r>
      <w:r w:rsidR="00633B2E" w:rsidRPr="007C266E">
        <w:rPr>
          <w:rFonts w:ascii="Times New Roman" w:hAnsi="Times New Roman" w:cs="Times New Roman"/>
          <w:sz w:val="23"/>
          <w:szCs w:val="23"/>
          <w:lang w:val="ro-RO"/>
        </w:rPr>
        <w:t>, dezvoltare tehnologică și inovare</w:t>
      </w:r>
      <w:r w:rsidRPr="007C266E">
        <w:rPr>
          <w:rFonts w:ascii="Times New Roman" w:hAnsi="Times New Roman" w:cs="Times New Roman"/>
          <w:sz w:val="23"/>
          <w:szCs w:val="23"/>
          <w:lang w:val="ro-RO"/>
        </w:rPr>
        <w:t xml:space="preserve"> în domeniul energiei; dezvoltarea de parteneriate cu industria energetică</w:t>
      </w:r>
      <w:r w:rsidR="00633B2E" w:rsidRPr="007C266E">
        <w:rPr>
          <w:rFonts w:ascii="Times New Roman" w:hAnsi="Times New Roman" w:cs="Times New Roman"/>
          <w:sz w:val="23"/>
          <w:szCs w:val="23"/>
          <w:lang w:val="ro-RO"/>
        </w:rPr>
        <w:t>, precum și cu centrele universitare</w:t>
      </w:r>
      <w:r w:rsidRPr="007C266E">
        <w:rPr>
          <w:rFonts w:ascii="Times New Roman" w:hAnsi="Times New Roman" w:cs="Times New Roman"/>
          <w:sz w:val="23"/>
          <w:szCs w:val="23"/>
          <w:lang w:val="ro-RO"/>
        </w:rPr>
        <w:t>.</w:t>
      </w:r>
    </w:p>
    <w:p w14:paraId="2CE85A12"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AP20d: Dezvoltarea capacității de atragere a surselor de finanțare europene și internaționale pentru cercetare științifică, prin participarea în consorții internaționale a institutelor de cercetare</w:t>
      </w:r>
      <w:r w:rsidR="00677667" w:rsidRPr="007C266E">
        <w:rPr>
          <w:rFonts w:ascii="Times New Roman" w:hAnsi="Times New Roman" w:cs="Times New Roman"/>
          <w:sz w:val="23"/>
          <w:szCs w:val="23"/>
          <w:lang w:val="ro-RO"/>
        </w:rPr>
        <w:t xml:space="preserve"> – </w:t>
      </w:r>
      <w:r w:rsidR="00217118" w:rsidRPr="007C266E">
        <w:rPr>
          <w:rFonts w:ascii="Times New Roman" w:hAnsi="Times New Roman" w:cs="Times New Roman"/>
          <w:sz w:val="23"/>
          <w:szCs w:val="23"/>
          <w:lang w:val="ro-RO"/>
        </w:rPr>
        <w:t>dezvoltare</w:t>
      </w:r>
      <w:r w:rsidR="00677667" w:rsidRPr="007C266E">
        <w:rPr>
          <w:rFonts w:ascii="Times New Roman" w:hAnsi="Times New Roman" w:cs="Times New Roman"/>
          <w:sz w:val="23"/>
          <w:szCs w:val="23"/>
          <w:lang w:val="ro-RO"/>
        </w:rPr>
        <w:t xml:space="preserve"> </w:t>
      </w:r>
      <w:r w:rsidR="00217118" w:rsidRPr="007C266E">
        <w:rPr>
          <w:rFonts w:ascii="Times New Roman" w:hAnsi="Times New Roman" w:cs="Times New Roman"/>
          <w:sz w:val="23"/>
          <w:szCs w:val="23"/>
          <w:lang w:val="ro-RO"/>
        </w:rPr>
        <w:t>-</w:t>
      </w:r>
      <w:r w:rsidR="00677667" w:rsidRPr="007C266E">
        <w:rPr>
          <w:rFonts w:ascii="Times New Roman" w:hAnsi="Times New Roman" w:cs="Times New Roman"/>
          <w:sz w:val="23"/>
          <w:szCs w:val="23"/>
          <w:lang w:val="ro-RO"/>
        </w:rPr>
        <w:t xml:space="preserve"> </w:t>
      </w:r>
      <w:r w:rsidR="00217118" w:rsidRPr="007C266E">
        <w:rPr>
          <w:rFonts w:ascii="Times New Roman" w:hAnsi="Times New Roman" w:cs="Times New Roman"/>
          <w:sz w:val="23"/>
          <w:szCs w:val="23"/>
          <w:lang w:val="ro-RO"/>
        </w:rPr>
        <w:t>inovare</w:t>
      </w:r>
      <w:r w:rsidRPr="007C266E">
        <w:rPr>
          <w:rFonts w:ascii="Times New Roman" w:hAnsi="Times New Roman" w:cs="Times New Roman"/>
          <w:sz w:val="23"/>
          <w:szCs w:val="23"/>
          <w:lang w:val="ro-RO"/>
        </w:rPr>
        <w:t>.</w:t>
      </w:r>
    </w:p>
    <w:p w14:paraId="68D431F0"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AP20e: Programe de formare continuă pentru specialiștii din admini</w:t>
      </w:r>
      <w:r w:rsidR="00C105EB" w:rsidRPr="007C266E">
        <w:rPr>
          <w:rFonts w:ascii="Times New Roman" w:hAnsi="Times New Roman" w:cs="Times New Roman"/>
          <w:sz w:val="23"/>
          <w:szCs w:val="23"/>
          <w:lang w:val="ro-RO"/>
        </w:rPr>
        <w:t>strație ai sectorului energetic;</w:t>
      </w:r>
    </w:p>
    <w:p w14:paraId="2F8CB661" w14:textId="77777777" w:rsidR="0074000A" w:rsidRPr="007C266E" w:rsidRDefault="00C105EB" w:rsidP="009E5804">
      <w:pPr>
        <w:spacing w:after="0" w:line="240" w:lineRule="auto"/>
        <w:jc w:val="both"/>
        <w:rPr>
          <w:rFonts w:ascii="Times New Roman" w:hAnsi="Times New Roman" w:cs="Times New Roman"/>
          <w:color w:val="000000"/>
          <w:sz w:val="23"/>
          <w:szCs w:val="23"/>
          <w:shd w:val="clear" w:color="auto" w:fill="FFFFFF"/>
          <w:lang w:val="ro-RO"/>
        </w:rPr>
      </w:pPr>
      <w:r w:rsidRPr="007C266E">
        <w:rPr>
          <w:rFonts w:ascii="Times New Roman" w:hAnsi="Times New Roman" w:cs="Times New Roman"/>
          <w:sz w:val="23"/>
          <w:szCs w:val="23"/>
          <w:lang w:val="ro-RO"/>
        </w:rPr>
        <w:t xml:space="preserve">AP20f: Instruire continua pentru </w:t>
      </w:r>
      <w:r w:rsidRPr="007C266E">
        <w:rPr>
          <w:rFonts w:ascii="Times New Roman" w:hAnsi="Times New Roman" w:cs="Times New Roman"/>
          <w:color w:val="000000"/>
          <w:sz w:val="23"/>
          <w:szCs w:val="23"/>
          <w:shd w:val="clear" w:color="auto" w:fill="FFFFFF"/>
          <w:lang w:val="ro-RO"/>
        </w:rPr>
        <w:t xml:space="preserve">prevenirea riscurilor profesionale, protecţia sănătăţii şi securitatea lucrătorilor, eliminarea factorilor de risc şi accidentare. </w:t>
      </w:r>
    </w:p>
    <w:p w14:paraId="443D7A2F" w14:textId="77777777" w:rsidR="00C105EB" w:rsidRPr="007C266E" w:rsidRDefault="00C105EB" w:rsidP="009E5804">
      <w:pPr>
        <w:spacing w:after="0" w:line="240" w:lineRule="auto"/>
        <w:jc w:val="both"/>
        <w:rPr>
          <w:rFonts w:ascii="Times New Roman" w:hAnsi="Times New Roman" w:cs="Times New Roman"/>
          <w:sz w:val="23"/>
          <w:szCs w:val="23"/>
          <w:lang w:val="ro-RO"/>
        </w:rPr>
      </w:pPr>
    </w:p>
    <w:p w14:paraId="058539D7"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w:t>
      </w:r>
      <w:r w:rsidRPr="007C266E">
        <w:rPr>
          <w:rFonts w:ascii="Times New Roman" w:hAnsi="Times New Roman" w:cs="Times New Roman"/>
          <w:b/>
          <w:sz w:val="23"/>
          <w:szCs w:val="23"/>
          <w:lang w:val="ro-RO"/>
        </w:rPr>
        <w:t>OP21) ÎMBUNĂTĂȚIREA GUVERNANȚEI CORPORATIVE A COMPANIILOR CU CAPITAL DE STAT</w:t>
      </w:r>
    </w:p>
    <w:p w14:paraId="63089BA2"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AP21a: Implementarea normelor privind guvernanța corporativă a companiilor cu capital de stat și introducerea unor mecanisme de monitorizare a performanței manageriale a acestor companii.</w:t>
      </w:r>
    </w:p>
    <w:p w14:paraId="5C478E56" w14:textId="77777777" w:rsidR="00D64C4C"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AP21b: Asigurarea profesionalismului și transparenței procesului de selecție a echipei de management, cu o publicare</w:t>
      </w:r>
      <w:r w:rsidR="00217118"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 xml:space="preserve"> detaliată a criteriilor de selecție și a rezultatelor intermediare și finale.</w:t>
      </w:r>
    </w:p>
    <w:p w14:paraId="402C5614" w14:textId="77777777" w:rsidR="00FC2622" w:rsidRPr="007C266E" w:rsidRDefault="00FC2622" w:rsidP="009E5804">
      <w:pPr>
        <w:spacing w:after="0" w:line="240" w:lineRule="auto"/>
        <w:jc w:val="both"/>
        <w:rPr>
          <w:rFonts w:ascii="Times New Roman" w:hAnsi="Times New Roman" w:cs="Times New Roman"/>
          <w:sz w:val="23"/>
          <w:szCs w:val="23"/>
          <w:lang w:val="ro-RO"/>
        </w:rPr>
      </w:pPr>
    </w:p>
    <w:p w14:paraId="7FEF1920" w14:textId="77777777" w:rsidR="00D64C4C" w:rsidRPr="007C266E" w:rsidRDefault="00D64C4C"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(OP22) </w:t>
      </w:r>
      <w:r w:rsidR="00AB3F6E" w:rsidRPr="007C266E">
        <w:rPr>
          <w:rFonts w:ascii="Times New Roman" w:hAnsi="Times New Roman" w:cs="Times New Roman"/>
          <w:b/>
          <w:sz w:val="23"/>
          <w:szCs w:val="23"/>
          <w:lang w:val="ro-RO"/>
        </w:rPr>
        <w:t>DEZVOLTAREA CAPACITĂȚII INSTITUȚIONALE</w:t>
      </w:r>
    </w:p>
    <w:p w14:paraId="12A3D4FE" w14:textId="77777777" w:rsidR="00AB3F6E" w:rsidRPr="007C266E" w:rsidRDefault="00AB3F6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AP22a: Dezvoltarea sistemelor de management al datelor, proiectare și implementare.</w:t>
      </w:r>
    </w:p>
    <w:p w14:paraId="322ECB32" w14:textId="77777777" w:rsidR="00AB3F6E" w:rsidRPr="007C266E" w:rsidRDefault="00AB3F6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AP22b: Asigurarea autorităților de reglementare cu un număr corespunzător de personal tehnic pregătit și sprijin cu resurse, inclusiv capacitate IT și baze de date, pentru a îndeplini obligațiile de reglementare și pentru a asigura armonizarea cu bunele practici internaționale.</w:t>
      </w:r>
    </w:p>
    <w:p w14:paraId="48361C79" w14:textId="77777777" w:rsidR="00AB3F6E" w:rsidRPr="007C266E" w:rsidRDefault="00AB3F6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AP22c: Dezvoltarea capacității interne a autorităților de reglementare pentru a realiza analize conform bunelor practici internaționale.</w:t>
      </w:r>
    </w:p>
    <w:p w14:paraId="5EEF2998" w14:textId="77777777" w:rsidR="00C41549" w:rsidRPr="007C266E" w:rsidRDefault="00C41549" w:rsidP="009E5804">
      <w:pPr>
        <w:spacing w:after="0" w:line="240" w:lineRule="auto"/>
        <w:jc w:val="both"/>
        <w:rPr>
          <w:rFonts w:ascii="Times New Roman" w:hAnsi="Times New Roman" w:cs="Times New Roman"/>
          <w:sz w:val="23"/>
          <w:szCs w:val="23"/>
          <w:lang w:val="ro-RO"/>
        </w:rPr>
      </w:pPr>
    </w:p>
    <w:p w14:paraId="181B8BAE"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(OP2</w:t>
      </w:r>
      <w:r w:rsidR="00D64C4C" w:rsidRPr="007C266E">
        <w:rPr>
          <w:rFonts w:ascii="Times New Roman" w:hAnsi="Times New Roman" w:cs="Times New Roman"/>
          <w:b/>
          <w:sz w:val="23"/>
          <w:szCs w:val="23"/>
          <w:lang w:val="ro-RO"/>
        </w:rPr>
        <w:t>3</w:t>
      </w:r>
      <w:r w:rsidRPr="007C266E">
        <w:rPr>
          <w:rFonts w:ascii="Times New Roman" w:hAnsi="Times New Roman" w:cs="Times New Roman"/>
          <w:b/>
          <w:sz w:val="23"/>
          <w:szCs w:val="23"/>
          <w:lang w:val="ro-RO"/>
        </w:rPr>
        <w:t>) CREȘTEREA ACCESULUI POPULAȚIEI LA ENERGIE ELECTRICĂ, ENERGIE TERMICĂ ȘI GAZ</w:t>
      </w:r>
      <w:r w:rsidR="00217118" w:rsidRPr="007C266E">
        <w:rPr>
          <w:rFonts w:ascii="Times New Roman" w:hAnsi="Times New Roman" w:cs="Times New Roman"/>
          <w:b/>
          <w:sz w:val="23"/>
          <w:szCs w:val="23"/>
          <w:lang w:val="ro-RO"/>
        </w:rPr>
        <w:t>E</w:t>
      </w:r>
      <w:r w:rsidRPr="007C266E">
        <w:rPr>
          <w:rFonts w:ascii="Times New Roman" w:hAnsi="Times New Roman" w:cs="Times New Roman"/>
          <w:b/>
          <w:sz w:val="23"/>
          <w:szCs w:val="23"/>
          <w:lang w:val="ro-RO"/>
        </w:rPr>
        <w:t xml:space="preserve"> NATURAL</w:t>
      </w:r>
      <w:r w:rsidR="00217118" w:rsidRPr="007C266E">
        <w:rPr>
          <w:rFonts w:ascii="Times New Roman" w:hAnsi="Times New Roman" w:cs="Times New Roman"/>
          <w:b/>
          <w:sz w:val="23"/>
          <w:szCs w:val="23"/>
          <w:lang w:val="ro-RO"/>
        </w:rPr>
        <w:t>E</w:t>
      </w:r>
    </w:p>
    <w:p w14:paraId="73CA556B"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w:t>
      </w:r>
      <w:r w:rsidR="00AB3F6E" w:rsidRPr="007C266E">
        <w:rPr>
          <w:rFonts w:ascii="Times New Roman" w:hAnsi="Times New Roman" w:cs="Times New Roman"/>
          <w:sz w:val="23"/>
          <w:szCs w:val="23"/>
          <w:lang w:val="ro-RO"/>
        </w:rPr>
        <w:t>3</w:t>
      </w:r>
      <w:r w:rsidRPr="007C266E">
        <w:rPr>
          <w:rFonts w:ascii="Times New Roman" w:hAnsi="Times New Roman" w:cs="Times New Roman"/>
          <w:sz w:val="23"/>
          <w:szCs w:val="23"/>
          <w:lang w:val="ro-RO"/>
        </w:rPr>
        <w:t>a: Îmbunătățirea accesului la surse alternative de energie, prin dezvoltarea rețelelor de distribuție.</w:t>
      </w:r>
    </w:p>
    <w:p w14:paraId="343BE774"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w:t>
      </w:r>
      <w:r w:rsidR="00AB3F6E" w:rsidRPr="007C266E">
        <w:rPr>
          <w:rFonts w:ascii="Times New Roman" w:hAnsi="Times New Roman" w:cs="Times New Roman"/>
          <w:sz w:val="23"/>
          <w:szCs w:val="23"/>
          <w:lang w:val="ro-RO"/>
        </w:rPr>
        <w:t>3</w:t>
      </w:r>
      <w:r w:rsidRPr="007C266E">
        <w:rPr>
          <w:rFonts w:ascii="Times New Roman" w:hAnsi="Times New Roman" w:cs="Times New Roman"/>
          <w:sz w:val="23"/>
          <w:szCs w:val="23"/>
          <w:lang w:val="ro-RO"/>
        </w:rPr>
        <w:t xml:space="preserve">b: Dezvoltarea, din diverse surse de finanțare, de micro-rețelele și de sisteme de generare distribuită a energiei electrice, cu </w:t>
      </w:r>
      <w:r w:rsidRPr="007C266E">
        <w:rPr>
          <w:rFonts w:ascii="Times New Roman" w:hAnsi="Times New Roman" w:cs="Times New Roman"/>
          <w:sz w:val="23"/>
          <w:szCs w:val="23"/>
          <w:lang w:val="ro-RO"/>
        </w:rPr>
        <w:lastRenderedPageBreak/>
        <w:t>prioritate pentru gospodăriile fără acces la energie electrică.</w:t>
      </w:r>
    </w:p>
    <w:p w14:paraId="792B111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w:t>
      </w:r>
      <w:r w:rsidR="00677667" w:rsidRPr="007C266E">
        <w:rPr>
          <w:rFonts w:ascii="Times New Roman" w:hAnsi="Times New Roman" w:cs="Times New Roman"/>
          <w:sz w:val="23"/>
          <w:szCs w:val="23"/>
          <w:lang w:val="ro-RO"/>
        </w:rPr>
        <w:t>P</w:t>
      </w:r>
      <w:r w:rsidRPr="007C266E">
        <w:rPr>
          <w:rFonts w:ascii="Times New Roman" w:hAnsi="Times New Roman" w:cs="Times New Roman"/>
          <w:sz w:val="23"/>
          <w:szCs w:val="23"/>
          <w:lang w:val="ro-RO"/>
        </w:rPr>
        <w:t>2</w:t>
      </w:r>
      <w:r w:rsidR="00AB3F6E" w:rsidRPr="007C266E">
        <w:rPr>
          <w:rFonts w:ascii="Times New Roman" w:hAnsi="Times New Roman" w:cs="Times New Roman"/>
          <w:sz w:val="23"/>
          <w:szCs w:val="23"/>
          <w:lang w:val="ro-RO"/>
        </w:rPr>
        <w:t>3</w:t>
      </w:r>
      <w:r w:rsidRPr="007C266E">
        <w:rPr>
          <w:rFonts w:ascii="Times New Roman" w:hAnsi="Times New Roman" w:cs="Times New Roman"/>
          <w:sz w:val="23"/>
          <w:szCs w:val="23"/>
          <w:lang w:val="ro-RO"/>
        </w:rPr>
        <w:t>c: Dezvoltarea de politici publice la nivelul unităților administrative locale privind modul de asigurare a energiei termice pentru comunități.</w:t>
      </w:r>
    </w:p>
    <w:p w14:paraId="043BE29F" w14:textId="77777777" w:rsidR="00B4014B" w:rsidRPr="007C266E" w:rsidRDefault="00B4014B"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w:t>
      </w:r>
      <w:r w:rsidR="00677667" w:rsidRPr="007C266E">
        <w:rPr>
          <w:rFonts w:ascii="Times New Roman" w:hAnsi="Times New Roman" w:cs="Times New Roman"/>
          <w:sz w:val="23"/>
          <w:szCs w:val="23"/>
          <w:lang w:val="ro-RO"/>
        </w:rPr>
        <w:t>P</w:t>
      </w:r>
      <w:r w:rsidRPr="007C266E">
        <w:rPr>
          <w:rFonts w:ascii="Times New Roman" w:hAnsi="Times New Roman" w:cs="Times New Roman"/>
          <w:sz w:val="23"/>
          <w:szCs w:val="23"/>
          <w:lang w:val="ro-RO"/>
        </w:rPr>
        <w:t>2</w:t>
      </w:r>
      <w:r w:rsidR="00AB3F6E" w:rsidRPr="007C266E">
        <w:rPr>
          <w:rFonts w:ascii="Times New Roman" w:hAnsi="Times New Roman" w:cs="Times New Roman"/>
          <w:sz w:val="23"/>
          <w:szCs w:val="23"/>
          <w:lang w:val="ro-RO"/>
        </w:rPr>
        <w:t>3</w:t>
      </w:r>
      <w:r w:rsidRPr="007C266E">
        <w:rPr>
          <w:rFonts w:ascii="Times New Roman" w:hAnsi="Times New Roman" w:cs="Times New Roman"/>
          <w:sz w:val="23"/>
          <w:szCs w:val="23"/>
          <w:lang w:val="ro-RO"/>
        </w:rPr>
        <w:t>d: Dezvoltarea rețelelor de distribuție a gazelor naturale</w:t>
      </w:r>
      <w:r w:rsidR="00EB0B90" w:rsidRPr="007C266E">
        <w:rPr>
          <w:rFonts w:ascii="Times New Roman" w:hAnsi="Times New Roman" w:cs="Times New Roman"/>
          <w:sz w:val="23"/>
          <w:szCs w:val="23"/>
          <w:lang w:val="ro-RO"/>
        </w:rPr>
        <w:t xml:space="preserve"> la nivelul întregii țări.</w:t>
      </w:r>
    </w:p>
    <w:p w14:paraId="0871AF07" w14:textId="77777777" w:rsidR="00E23F20" w:rsidRPr="007C266E" w:rsidRDefault="00E23F20" w:rsidP="009E5804">
      <w:pPr>
        <w:spacing w:after="0" w:line="240" w:lineRule="auto"/>
        <w:jc w:val="both"/>
        <w:rPr>
          <w:rFonts w:ascii="Times New Roman" w:hAnsi="Times New Roman" w:cs="Times New Roman"/>
          <w:sz w:val="23"/>
          <w:szCs w:val="23"/>
          <w:lang w:val="ro-RO"/>
        </w:rPr>
      </w:pPr>
    </w:p>
    <w:p w14:paraId="0C545B0A"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(OP2</w:t>
      </w:r>
      <w:r w:rsidR="00D64C4C" w:rsidRPr="007C266E">
        <w:rPr>
          <w:rFonts w:ascii="Times New Roman" w:hAnsi="Times New Roman" w:cs="Times New Roman"/>
          <w:b/>
          <w:sz w:val="23"/>
          <w:szCs w:val="23"/>
          <w:lang w:val="ro-RO"/>
        </w:rPr>
        <w:t>4</w:t>
      </w:r>
      <w:r w:rsidRPr="007C266E">
        <w:rPr>
          <w:rFonts w:ascii="Times New Roman" w:hAnsi="Times New Roman" w:cs="Times New Roman"/>
          <w:b/>
          <w:sz w:val="23"/>
          <w:szCs w:val="23"/>
          <w:lang w:val="ro-RO"/>
        </w:rPr>
        <w:t xml:space="preserve">) REDUCEREA GRADULUI DE SĂRĂCIE ENERGETICĂ ȘI PROTECȚIA CONSUMATORULUI VULNERABIL </w:t>
      </w:r>
    </w:p>
    <w:p w14:paraId="1B354AA7"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w:t>
      </w:r>
      <w:r w:rsidR="00AB3F6E" w:rsidRPr="007C266E">
        <w:rPr>
          <w:rFonts w:ascii="Times New Roman" w:hAnsi="Times New Roman" w:cs="Times New Roman"/>
          <w:sz w:val="23"/>
          <w:szCs w:val="23"/>
          <w:lang w:val="ro-RO"/>
        </w:rPr>
        <w:t>4</w:t>
      </w:r>
      <w:r w:rsidRPr="007C266E">
        <w:rPr>
          <w:rFonts w:ascii="Times New Roman" w:hAnsi="Times New Roman" w:cs="Times New Roman"/>
          <w:sz w:val="23"/>
          <w:szCs w:val="23"/>
          <w:lang w:val="ro-RO"/>
        </w:rPr>
        <w:t>a: Realizarea de programe publice de izolare termică a imobilelor pentru comunitățile afectate de sărăcie energetică, în scopul reducerii pierderilor de energie și al scăderii cheltuielilor cu încălzirea.</w:t>
      </w:r>
    </w:p>
    <w:p w14:paraId="667DAF19"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w:t>
      </w:r>
      <w:r w:rsidR="00AB3F6E" w:rsidRPr="007C266E">
        <w:rPr>
          <w:rFonts w:ascii="Times New Roman" w:hAnsi="Times New Roman" w:cs="Times New Roman"/>
          <w:sz w:val="23"/>
          <w:szCs w:val="23"/>
          <w:lang w:val="ro-RO"/>
        </w:rPr>
        <w:t>4</w:t>
      </w:r>
      <w:r w:rsidRPr="007C266E">
        <w:rPr>
          <w:rFonts w:ascii="Times New Roman" w:hAnsi="Times New Roman" w:cs="Times New Roman"/>
          <w:sz w:val="23"/>
          <w:szCs w:val="23"/>
          <w:lang w:val="ro-RO"/>
        </w:rPr>
        <w:t>b: Protecția consumatorului vulnerabil prin ajutoare sociale adecvate, precum ajutoarele pentru încălzire și tariful social al energiei electrice, respectiv prin obligații de serviciu public.</w:t>
      </w:r>
    </w:p>
    <w:p w14:paraId="7EB34864" w14:textId="77777777" w:rsidR="0088067F" w:rsidRPr="007C266E" w:rsidRDefault="00AB3F6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AP24</w:t>
      </w:r>
      <w:r w:rsidR="0088067F" w:rsidRPr="007C266E">
        <w:rPr>
          <w:rFonts w:ascii="Times New Roman" w:hAnsi="Times New Roman" w:cs="Times New Roman"/>
          <w:sz w:val="23"/>
          <w:szCs w:val="23"/>
          <w:lang w:val="ro-RO"/>
        </w:rPr>
        <w:t>c: Reglementarea statutului și regimului juridic al consumatorului vulnerabil.</w:t>
      </w:r>
    </w:p>
    <w:p w14:paraId="3EED1D43" w14:textId="77777777" w:rsidR="00DF7F7A" w:rsidRPr="007C266E" w:rsidRDefault="00DF7F7A" w:rsidP="009E5804">
      <w:pPr>
        <w:spacing w:after="0" w:line="240" w:lineRule="auto"/>
        <w:jc w:val="both"/>
        <w:rPr>
          <w:rFonts w:ascii="Times New Roman" w:hAnsi="Times New Roman" w:cs="Times New Roman"/>
          <w:sz w:val="23"/>
          <w:szCs w:val="23"/>
          <w:lang w:val="ro-RO"/>
        </w:rPr>
      </w:pPr>
    </w:p>
    <w:p w14:paraId="298873C6" w14:textId="77777777" w:rsidR="00DF7F7A" w:rsidRPr="007C266E" w:rsidRDefault="00D64C4C"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OP(25</w:t>
      </w:r>
      <w:r w:rsidR="00DF7F7A" w:rsidRPr="007C266E">
        <w:rPr>
          <w:rFonts w:ascii="Times New Roman" w:hAnsi="Times New Roman" w:cs="Times New Roman"/>
          <w:b/>
          <w:sz w:val="23"/>
          <w:szCs w:val="23"/>
          <w:lang w:val="ro-RO"/>
        </w:rPr>
        <w:t xml:space="preserve">) </w:t>
      </w:r>
      <w:r w:rsidR="00E51C1E" w:rsidRPr="007C266E">
        <w:rPr>
          <w:rFonts w:ascii="Times New Roman" w:hAnsi="Times New Roman" w:cs="Times New Roman"/>
          <w:b/>
          <w:sz w:val="23"/>
          <w:szCs w:val="23"/>
          <w:lang w:val="ro-RO"/>
        </w:rPr>
        <w:t>ADAPTAREA LA SCHIMBĂRILE CLIMATICE ȘI PREVENIREA ȘI GESTIONAREA RISCURILOR</w:t>
      </w:r>
    </w:p>
    <w:p w14:paraId="72CE4400" w14:textId="77777777" w:rsidR="00E51C1E" w:rsidRPr="007C266E" w:rsidRDefault="00AB3F6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AP25</w:t>
      </w:r>
      <w:r w:rsidR="00E51C1E" w:rsidRPr="007C266E">
        <w:rPr>
          <w:rFonts w:ascii="Times New Roman" w:hAnsi="Times New Roman" w:cs="Times New Roman"/>
          <w:sz w:val="23"/>
          <w:szCs w:val="23"/>
          <w:lang w:val="ro-RO"/>
        </w:rPr>
        <w:t>a: Adaptarea planurilor de analiză și acoperire a riscurilor și planurilor de apărare împotriva situațiilor de urgență specifice la schimbările climatice.</w:t>
      </w:r>
    </w:p>
    <w:p w14:paraId="6E13A25E" w14:textId="77777777" w:rsidR="00E51C1E" w:rsidRPr="007C266E" w:rsidRDefault="00AB3F6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AP25</w:t>
      </w:r>
      <w:r w:rsidR="00E51C1E" w:rsidRPr="007C266E">
        <w:rPr>
          <w:rFonts w:ascii="Times New Roman" w:hAnsi="Times New Roman" w:cs="Times New Roman"/>
          <w:sz w:val="23"/>
          <w:szCs w:val="23"/>
          <w:lang w:val="ro-RO"/>
        </w:rPr>
        <w:t>b: Ajustarea codurilor și normelor existente în domeniul construcțiilor sau a altor coduri și norme din acest domeniu, pentru a corespunde condițiilor de climă și evenimentelor extreme</w:t>
      </w:r>
    </w:p>
    <w:p w14:paraId="0248DF6C" w14:textId="29596B7A" w:rsidR="00E51C1E" w:rsidRPr="007C266E" w:rsidRDefault="00AB3F6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AP25</w:t>
      </w:r>
      <w:r w:rsidR="00E51C1E" w:rsidRPr="007C266E">
        <w:rPr>
          <w:rFonts w:ascii="Times New Roman" w:hAnsi="Times New Roman" w:cs="Times New Roman"/>
          <w:sz w:val="23"/>
          <w:szCs w:val="23"/>
          <w:lang w:val="ro-RO"/>
        </w:rPr>
        <w:t>c: În contextul Regulamentului (UE) 2019/941 al Parlamentului European și al Consiliului din 5 iunie 2019 privind pregătirea pentru riscuri în sectorul energiei electrice, este avuta în vedere constituirea unei autorități competente la nivelul Ministerului Economiei, Energiei și Mediului de Afaceri</w:t>
      </w:r>
      <w:r w:rsidR="009E40F6">
        <w:rPr>
          <w:rFonts w:ascii="Times New Roman" w:hAnsi="Times New Roman" w:cs="Times New Roman"/>
          <w:sz w:val="23"/>
          <w:szCs w:val="23"/>
          <w:lang w:val="ro-RO"/>
        </w:rPr>
        <w:t>.</w:t>
      </w:r>
    </w:p>
    <w:p w14:paraId="40AFDBAC"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358B1A1F" w14:textId="77777777" w:rsidR="00883595" w:rsidRPr="007C266E" w:rsidRDefault="00883595" w:rsidP="004B4A53">
      <w:pPr>
        <w:spacing w:line="240" w:lineRule="auto"/>
        <w:rPr>
          <w:rFonts w:ascii="Times New Roman" w:hAnsi="Times New Roman" w:cs="Times New Roman"/>
          <w:b/>
          <w:bCs/>
          <w:sz w:val="23"/>
          <w:szCs w:val="23"/>
          <w:lang w:val="ro-RO"/>
        </w:rPr>
        <w:sectPr w:rsidR="00883595" w:rsidRPr="007C266E" w:rsidSect="0089425F">
          <w:type w:val="continuous"/>
          <w:pgSz w:w="12240" w:h="15840"/>
          <w:pgMar w:top="1440" w:right="1440" w:bottom="1440" w:left="1440" w:header="720" w:footer="720" w:gutter="0"/>
          <w:cols w:num="2" w:space="720"/>
          <w:docGrid w:linePitch="360"/>
        </w:sectPr>
      </w:pPr>
    </w:p>
    <w:p w14:paraId="3475F06D" w14:textId="77777777" w:rsidR="00EE4C0C" w:rsidRPr="007C266E" w:rsidRDefault="00EE4C0C" w:rsidP="004B4A53">
      <w:pPr>
        <w:spacing w:line="240" w:lineRule="auto"/>
        <w:rPr>
          <w:rFonts w:ascii="Times New Roman" w:hAnsi="Times New Roman" w:cs="Times New Roman"/>
          <w:sz w:val="23"/>
          <w:szCs w:val="23"/>
          <w:lang w:val="ro-RO"/>
        </w:rPr>
      </w:pPr>
    </w:p>
    <w:p w14:paraId="605D73E3" w14:textId="77777777" w:rsidR="00F5665A" w:rsidRDefault="00F5665A" w:rsidP="004B4A53">
      <w:pPr>
        <w:spacing w:line="240" w:lineRule="auto"/>
        <w:rPr>
          <w:rFonts w:ascii="Times New Roman" w:hAnsi="Times New Roman" w:cs="Times New Roman"/>
          <w:sz w:val="23"/>
          <w:szCs w:val="23"/>
          <w:lang w:val="ro-RO"/>
        </w:rPr>
      </w:pPr>
    </w:p>
    <w:p w14:paraId="73CC321F" w14:textId="77777777" w:rsidR="00756D0A" w:rsidRDefault="00756D0A" w:rsidP="004B4A53">
      <w:pPr>
        <w:spacing w:line="240" w:lineRule="auto"/>
        <w:rPr>
          <w:rFonts w:ascii="Times New Roman" w:hAnsi="Times New Roman" w:cs="Times New Roman"/>
          <w:sz w:val="23"/>
          <w:szCs w:val="23"/>
          <w:lang w:val="ro-RO"/>
        </w:rPr>
      </w:pPr>
    </w:p>
    <w:p w14:paraId="7BABBC21" w14:textId="77777777" w:rsidR="00756D0A" w:rsidRDefault="00756D0A" w:rsidP="004B4A53">
      <w:pPr>
        <w:spacing w:line="240" w:lineRule="auto"/>
        <w:rPr>
          <w:rFonts w:ascii="Times New Roman" w:hAnsi="Times New Roman" w:cs="Times New Roman"/>
          <w:sz w:val="23"/>
          <w:szCs w:val="23"/>
          <w:lang w:val="ro-RO"/>
        </w:rPr>
      </w:pPr>
    </w:p>
    <w:p w14:paraId="065D3B59" w14:textId="77777777" w:rsidR="00756D0A" w:rsidRDefault="00756D0A" w:rsidP="004B4A53">
      <w:pPr>
        <w:spacing w:line="240" w:lineRule="auto"/>
        <w:rPr>
          <w:rFonts w:ascii="Times New Roman" w:hAnsi="Times New Roman" w:cs="Times New Roman"/>
          <w:sz w:val="23"/>
          <w:szCs w:val="23"/>
          <w:lang w:val="ro-RO"/>
        </w:rPr>
      </w:pPr>
    </w:p>
    <w:p w14:paraId="41BA7476" w14:textId="77777777" w:rsidR="00756D0A" w:rsidRDefault="00756D0A" w:rsidP="004B4A53">
      <w:pPr>
        <w:spacing w:line="240" w:lineRule="auto"/>
        <w:rPr>
          <w:rFonts w:ascii="Times New Roman" w:hAnsi="Times New Roman" w:cs="Times New Roman"/>
          <w:sz w:val="23"/>
          <w:szCs w:val="23"/>
          <w:lang w:val="ro-RO"/>
        </w:rPr>
      </w:pPr>
    </w:p>
    <w:p w14:paraId="2912B660" w14:textId="77777777" w:rsidR="00756D0A" w:rsidRDefault="00756D0A" w:rsidP="004B4A53">
      <w:pPr>
        <w:spacing w:line="240" w:lineRule="auto"/>
        <w:rPr>
          <w:rFonts w:ascii="Times New Roman" w:hAnsi="Times New Roman" w:cs="Times New Roman"/>
          <w:sz w:val="23"/>
          <w:szCs w:val="23"/>
          <w:lang w:val="ro-RO"/>
        </w:rPr>
      </w:pPr>
    </w:p>
    <w:p w14:paraId="4DEB3CBE" w14:textId="77777777" w:rsidR="00756D0A" w:rsidRDefault="00756D0A" w:rsidP="004B4A53">
      <w:pPr>
        <w:spacing w:line="240" w:lineRule="auto"/>
        <w:rPr>
          <w:rFonts w:ascii="Times New Roman" w:hAnsi="Times New Roman" w:cs="Times New Roman"/>
          <w:sz w:val="23"/>
          <w:szCs w:val="23"/>
          <w:lang w:val="ro-RO"/>
        </w:rPr>
      </w:pPr>
    </w:p>
    <w:p w14:paraId="548623E2" w14:textId="77777777" w:rsidR="00756D0A" w:rsidRDefault="00756D0A" w:rsidP="004B4A53">
      <w:pPr>
        <w:spacing w:line="240" w:lineRule="auto"/>
        <w:rPr>
          <w:rFonts w:ascii="Times New Roman" w:hAnsi="Times New Roman" w:cs="Times New Roman"/>
          <w:sz w:val="23"/>
          <w:szCs w:val="23"/>
          <w:lang w:val="ro-RO"/>
        </w:rPr>
      </w:pPr>
    </w:p>
    <w:p w14:paraId="391B6D4B" w14:textId="77777777" w:rsidR="00756D0A" w:rsidRDefault="00756D0A" w:rsidP="004B4A53">
      <w:pPr>
        <w:spacing w:line="240" w:lineRule="auto"/>
        <w:rPr>
          <w:rFonts w:ascii="Times New Roman" w:hAnsi="Times New Roman" w:cs="Times New Roman"/>
          <w:sz w:val="23"/>
          <w:szCs w:val="23"/>
          <w:lang w:val="ro-RO"/>
        </w:rPr>
      </w:pPr>
    </w:p>
    <w:p w14:paraId="6C3CA811" w14:textId="77777777" w:rsidR="00756D0A" w:rsidRDefault="00756D0A" w:rsidP="004B4A53">
      <w:pPr>
        <w:spacing w:line="240" w:lineRule="auto"/>
        <w:rPr>
          <w:rFonts w:ascii="Times New Roman" w:hAnsi="Times New Roman" w:cs="Times New Roman"/>
          <w:sz w:val="23"/>
          <w:szCs w:val="23"/>
          <w:lang w:val="ro-RO"/>
        </w:rPr>
      </w:pPr>
    </w:p>
    <w:p w14:paraId="6E087B80" w14:textId="77777777" w:rsidR="00756D0A" w:rsidRDefault="00756D0A" w:rsidP="004B4A53">
      <w:pPr>
        <w:spacing w:line="240" w:lineRule="auto"/>
        <w:rPr>
          <w:rFonts w:ascii="Times New Roman" w:hAnsi="Times New Roman" w:cs="Times New Roman"/>
          <w:sz w:val="23"/>
          <w:szCs w:val="23"/>
          <w:lang w:val="ro-RO"/>
        </w:rPr>
      </w:pPr>
    </w:p>
    <w:p w14:paraId="2B099302" w14:textId="77777777" w:rsidR="009E40F6" w:rsidRPr="007C266E" w:rsidRDefault="009E40F6" w:rsidP="004B4A53">
      <w:pPr>
        <w:spacing w:line="240" w:lineRule="auto"/>
        <w:rPr>
          <w:rFonts w:ascii="Times New Roman" w:hAnsi="Times New Roman" w:cs="Times New Roman"/>
          <w:sz w:val="23"/>
          <w:szCs w:val="23"/>
          <w:lang w:val="ro-RO"/>
        </w:rPr>
      </w:pPr>
    </w:p>
    <w:p w14:paraId="2B956548" w14:textId="77777777" w:rsidR="00883595" w:rsidRPr="007C266E" w:rsidRDefault="006A0292" w:rsidP="002500F7">
      <w:pPr>
        <w:pStyle w:val="Heading1"/>
        <w:numPr>
          <w:ilvl w:val="0"/>
          <w:numId w:val="7"/>
        </w:numPr>
        <w:spacing w:line="240" w:lineRule="auto"/>
        <w:rPr>
          <w:rFonts w:ascii="Times New Roman" w:hAnsi="Times New Roman" w:cs="Times New Roman"/>
          <w:sz w:val="23"/>
          <w:szCs w:val="23"/>
          <w:lang w:val="ro-RO"/>
        </w:rPr>
      </w:pPr>
      <w:bookmarkStart w:id="47" w:name="_Toc44400878"/>
      <w:r w:rsidRPr="007C266E">
        <w:rPr>
          <w:rFonts w:ascii="Times New Roman" w:hAnsi="Times New Roman" w:cs="Times New Roman"/>
          <w:sz w:val="23"/>
          <w:szCs w:val="23"/>
          <w:lang w:val="ro-RO"/>
        </w:rPr>
        <w:lastRenderedPageBreak/>
        <w:t>PREZENTARE GENERALĂ A SECTORULUI</w:t>
      </w:r>
      <w:r w:rsidR="00C43C61" w:rsidRPr="007C266E">
        <w:rPr>
          <w:rFonts w:ascii="Times New Roman" w:hAnsi="Times New Roman" w:cs="Times New Roman"/>
          <w:sz w:val="23"/>
          <w:szCs w:val="23"/>
          <w:lang w:val="ro-RO"/>
        </w:rPr>
        <w:t xml:space="preserve"> ENERGETIC NAȚIONAL</w:t>
      </w:r>
      <w:r w:rsidR="006C6431" w:rsidRPr="007C266E">
        <w:rPr>
          <w:rFonts w:ascii="Times New Roman" w:hAnsi="Times New Roman" w:cs="Times New Roman"/>
          <w:sz w:val="23"/>
          <w:szCs w:val="23"/>
          <w:lang w:val="ro-RO"/>
        </w:rPr>
        <w:t xml:space="preserve"> ȘI DIRECȚIILOR DE DEZVOLTARE</w:t>
      </w:r>
      <w:r w:rsidR="00C43C61" w:rsidRPr="007C266E">
        <w:rPr>
          <w:rFonts w:ascii="Times New Roman" w:hAnsi="Times New Roman" w:cs="Times New Roman"/>
          <w:sz w:val="23"/>
          <w:szCs w:val="23"/>
          <w:lang w:val="ro-RO"/>
        </w:rPr>
        <w:t xml:space="preserve"> PÂNĂ ÎN ANUL 2030</w:t>
      </w:r>
      <w:bookmarkEnd w:id="47"/>
    </w:p>
    <w:p w14:paraId="1D5B5346" w14:textId="77777777" w:rsidR="008446E1" w:rsidRPr="007C266E" w:rsidRDefault="008446E1" w:rsidP="004B4A53">
      <w:pPr>
        <w:spacing w:line="240" w:lineRule="auto"/>
        <w:rPr>
          <w:rFonts w:ascii="Times New Roman" w:hAnsi="Times New Roman" w:cs="Times New Roman"/>
          <w:sz w:val="23"/>
          <w:szCs w:val="23"/>
          <w:lang w:val="ro-RO"/>
        </w:rPr>
      </w:pPr>
    </w:p>
    <w:p w14:paraId="53966F48" w14:textId="77777777" w:rsidR="008A755B" w:rsidRPr="007C266E" w:rsidRDefault="008A755B" w:rsidP="004B4A53">
      <w:pPr>
        <w:spacing w:line="240" w:lineRule="auto"/>
        <w:rPr>
          <w:rFonts w:ascii="Times New Roman" w:hAnsi="Times New Roman" w:cs="Times New Roman"/>
          <w:sz w:val="23"/>
          <w:szCs w:val="23"/>
          <w:lang w:val="ro-RO"/>
        </w:rPr>
        <w:sectPr w:rsidR="008A755B" w:rsidRPr="007C266E" w:rsidSect="0089425F">
          <w:type w:val="continuous"/>
          <w:pgSz w:w="12240" w:h="15840"/>
          <w:pgMar w:top="1440" w:right="1440" w:bottom="1440" w:left="1440" w:header="720" w:footer="720" w:gutter="0"/>
          <w:cols w:space="720"/>
          <w:docGrid w:linePitch="360"/>
        </w:sectPr>
      </w:pPr>
    </w:p>
    <w:p w14:paraId="4D38089A" w14:textId="77777777" w:rsidR="003A71E4" w:rsidRPr="007C266E" w:rsidRDefault="00C43C61" w:rsidP="006E1D2D">
      <w:pPr>
        <w:pStyle w:val="Heading2"/>
        <w:spacing w:after="100" w:afterAutospacing="1" w:line="240" w:lineRule="auto"/>
        <w:rPr>
          <w:rFonts w:ascii="Times New Roman" w:hAnsi="Times New Roman" w:cs="Times New Roman"/>
          <w:sz w:val="23"/>
          <w:szCs w:val="23"/>
          <w:lang w:val="ro-RO"/>
        </w:rPr>
      </w:pPr>
      <w:bookmarkStart w:id="48" w:name="_Toc44400879"/>
      <w:r w:rsidRPr="007C266E">
        <w:rPr>
          <w:rFonts w:ascii="Times New Roman" w:hAnsi="Times New Roman" w:cs="Times New Roman"/>
          <w:sz w:val="23"/>
          <w:szCs w:val="23"/>
          <w:lang w:val="ro-RO"/>
        </w:rPr>
        <w:lastRenderedPageBreak/>
        <w:t>VI.1.</w:t>
      </w:r>
      <w:r w:rsidR="00DA2D65" w:rsidRPr="007C266E">
        <w:rPr>
          <w:rFonts w:ascii="Times New Roman" w:hAnsi="Times New Roman" w:cs="Times New Roman"/>
          <w:sz w:val="23"/>
          <w:szCs w:val="23"/>
          <w:lang w:val="ro-RO"/>
        </w:rPr>
        <w:tab/>
      </w:r>
      <w:r w:rsidR="003A71E4" w:rsidRPr="007C266E">
        <w:rPr>
          <w:rFonts w:ascii="Times New Roman" w:hAnsi="Times New Roman" w:cs="Times New Roman"/>
          <w:sz w:val="23"/>
          <w:szCs w:val="23"/>
          <w:lang w:val="ro-RO"/>
        </w:rPr>
        <w:t>Energia din surse regenerabile</w:t>
      </w:r>
      <w:bookmarkEnd w:id="48"/>
    </w:p>
    <w:p w14:paraId="185CC817" w14:textId="0CF539CE" w:rsidR="006A4321" w:rsidRPr="007C266E" w:rsidRDefault="006A4321" w:rsidP="006A4321">
      <w:pPr>
        <w:spacing w:line="240" w:lineRule="auto"/>
        <w:jc w:val="both"/>
        <w:rPr>
          <w:rFonts w:ascii="Times New Roman" w:hAnsi="Times New Roman" w:cs="Times New Roman"/>
          <w:sz w:val="23"/>
          <w:szCs w:val="23"/>
          <w:lang w:val="ro-RO"/>
        </w:rPr>
      </w:pPr>
      <w:r w:rsidRPr="007C266E">
        <w:rPr>
          <w:rFonts w:ascii="Times New Roman" w:hAnsi="Times New Roman" w:cs="Times New Roman"/>
          <w:noProof/>
          <w:sz w:val="23"/>
          <w:szCs w:val="23"/>
        </w:rPr>
        <w:drawing>
          <wp:anchor distT="0" distB="0" distL="114300" distR="114300" simplePos="0" relativeHeight="251655168" behindDoc="1" locked="0" layoutInCell="1" allowOverlap="1" wp14:anchorId="783ECC81" wp14:editId="36B74810">
            <wp:simplePos x="0" y="0"/>
            <wp:positionH relativeFrom="column">
              <wp:posOffset>13335</wp:posOffset>
            </wp:positionH>
            <wp:positionV relativeFrom="paragraph">
              <wp:posOffset>1877060</wp:posOffset>
            </wp:positionV>
            <wp:extent cx="2747645" cy="1651635"/>
            <wp:effectExtent l="0" t="0" r="0" b="5715"/>
            <wp:wrapTight wrapText="bothSides">
              <wp:wrapPolygon edited="0">
                <wp:start x="0" y="0"/>
                <wp:lineTo x="0" y="21426"/>
                <wp:lineTo x="21415" y="21426"/>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7645" cy="1651635"/>
                    </a:xfrm>
                    <a:prstGeom prst="rect">
                      <a:avLst/>
                    </a:prstGeom>
                    <a:noFill/>
                  </pic:spPr>
                </pic:pic>
              </a:graphicData>
            </a:graphic>
            <wp14:sizeRelH relativeFrom="page">
              <wp14:pctWidth>0</wp14:pctWidth>
            </wp14:sizeRelH>
            <wp14:sizeRelV relativeFrom="page">
              <wp14:pctHeight>0</wp14:pctHeight>
            </wp14:sizeRelV>
          </wp:anchor>
        </w:drawing>
      </w:r>
      <w:r w:rsidR="003A71E4" w:rsidRPr="007C266E">
        <w:rPr>
          <w:rFonts w:ascii="Times New Roman" w:hAnsi="Times New Roman" w:cs="Times New Roman"/>
          <w:sz w:val="23"/>
          <w:szCs w:val="23"/>
          <w:lang w:val="ro-RO"/>
        </w:rPr>
        <w:t xml:space="preserve">Promovarea surselor regenerabile de energie reprezintă un obiectiv important </w:t>
      </w:r>
      <w:r w:rsidR="00DA2D65" w:rsidRPr="007C266E">
        <w:rPr>
          <w:rFonts w:ascii="Times New Roman" w:hAnsi="Times New Roman" w:cs="Times New Roman"/>
          <w:sz w:val="23"/>
          <w:szCs w:val="23"/>
          <w:lang w:val="ro-RO"/>
        </w:rPr>
        <w:t>pentru România</w:t>
      </w:r>
      <w:r w:rsidR="003A71E4" w:rsidRPr="007C266E">
        <w:rPr>
          <w:rFonts w:ascii="Times New Roman" w:hAnsi="Times New Roman" w:cs="Times New Roman"/>
          <w:sz w:val="23"/>
          <w:szCs w:val="23"/>
          <w:lang w:val="ro-RO"/>
        </w:rPr>
        <w:t xml:space="preserve"> la nivelul anului 2030</w:t>
      </w:r>
      <w:r w:rsidR="00DA2D65" w:rsidRPr="007C266E">
        <w:rPr>
          <w:rFonts w:ascii="Times New Roman" w:hAnsi="Times New Roman" w:cs="Times New Roman"/>
          <w:sz w:val="23"/>
          <w:szCs w:val="23"/>
          <w:lang w:val="ro-RO"/>
        </w:rPr>
        <w:t xml:space="preserve"> în </w:t>
      </w:r>
      <w:r w:rsidR="002072EA" w:rsidRPr="007C266E">
        <w:rPr>
          <w:rFonts w:ascii="Times New Roman" w:hAnsi="Times New Roman" w:cs="Times New Roman"/>
          <w:sz w:val="23"/>
          <w:szCs w:val="23"/>
          <w:lang w:val="ro-RO"/>
        </w:rPr>
        <w:t xml:space="preserve">contextul tranziției către energia verde, curată. </w:t>
      </w:r>
      <w:r w:rsidR="00DA2D65" w:rsidRPr="007C266E">
        <w:rPr>
          <w:rFonts w:ascii="Times New Roman" w:hAnsi="Times New Roman" w:cs="Times New Roman"/>
          <w:sz w:val="23"/>
          <w:szCs w:val="23"/>
          <w:lang w:val="ro-RO"/>
        </w:rPr>
        <w:t xml:space="preserve"> </w:t>
      </w:r>
      <w:r w:rsidR="002072EA" w:rsidRPr="007C266E">
        <w:rPr>
          <w:rFonts w:ascii="Times New Roman" w:hAnsi="Times New Roman" w:cs="Times New Roman"/>
          <w:sz w:val="23"/>
          <w:szCs w:val="23"/>
          <w:lang w:val="ro-RO"/>
        </w:rPr>
        <w:t xml:space="preserve">România și-a stabilit obiectivul de a atinge o pondere a energiei din surse regenerabile în </w:t>
      </w:r>
      <w:r w:rsidRPr="007C266E">
        <w:rPr>
          <w:rFonts w:ascii="Times New Roman" w:hAnsi="Times New Roman" w:cs="Times New Roman"/>
          <w:sz w:val="23"/>
          <w:szCs w:val="23"/>
          <w:lang w:val="ro-RO"/>
        </w:rPr>
        <w:t>consumul final brut de energie de 30,7%, ținând cont de particularitățile naționale, față de o pondere de 24,4% în 2020, prezentată în graficul de mai jos:</w:t>
      </w:r>
    </w:p>
    <w:p w14:paraId="5AEEA54E" w14:textId="6CC64295" w:rsidR="006A4321" w:rsidRPr="007C266E" w:rsidRDefault="006A4321" w:rsidP="006A4321">
      <w:pPr>
        <w:spacing w:line="240" w:lineRule="auto"/>
        <w:jc w:val="both"/>
        <w:rPr>
          <w:rFonts w:ascii="Times New Roman" w:hAnsi="Times New Roman" w:cs="Times New Roman"/>
          <w:sz w:val="23"/>
          <w:szCs w:val="23"/>
          <w:lang w:val="ro-RO"/>
        </w:rPr>
      </w:pPr>
    </w:p>
    <w:p w14:paraId="3CE31D9C" w14:textId="77777777" w:rsidR="006A4321" w:rsidRPr="007C266E" w:rsidRDefault="006A4321" w:rsidP="006A4321">
      <w:pPr>
        <w:pStyle w:val="Caption"/>
        <w:jc w:val="both"/>
        <w:rPr>
          <w:rFonts w:ascii="Times New Roman" w:hAnsi="Times New Roman" w:cs="Times New Roman"/>
          <w:color w:val="auto"/>
          <w:sz w:val="23"/>
          <w:szCs w:val="23"/>
          <w:lang w:val="ro-RO"/>
        </w:rPr>
      </w:pPr>
      <w:r w:rsidRPr="007C266E">
        <w:rPr>
          <w:rFonts w:ascii="Times New Roman" w:hAnsi="Times New Roman" w:cs="Times New Roman"/>
          <w:color w:val="auto"/>
          <w:sz w:val="23"/>
          <w:szCs w:val="23"/>
          <w:lang w:val="ro-RO"/>
        </w:rPr>
        <w:t>Sursă: Ministerul Economiei, Energiei și Mediului de Afaceri</w:t>
      </w:r>
    </w:p>
    <w:p w14:paraId="77D68167" w14:textId="77777777" w:rsidR="006A4321" w:rsidRPr="007C266E" w:rsidRDefault="006A4321" w:rsidP="006A4321">
      <w:pPr>
        <w:pStyle w:val="Caption"/>
        <w:jc w:val="both"/>
        <w:rPr>
          <w:rFonts w:ascii="Times New Roman" w:hAnsi="Times New Roman" w:cs="Times New Roman"/>
          <w:color w:val="auto"/>
          <w:sz w:val="23"/>
          <w:szCs w:val="23"/>
          <w:lang w:val="ro-RO"/>
        </w:rPr>
      </w:pPr>
    </w:p>
    <w:p w14:paraId="0C6B4199" w14:textId="7B2F3564" w:rsidR="005B6E8D" w:rsidRPr="007C266E" w:rsidRDefault="005B6E8D" w:rsidP="009E5804">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Ponderea SRE totală este influențată de trei alți factori:</w:t>
      </w:r>
    </w:p>
    <w:p w14:paraId="09C04E19" w14:textId="5DDF2DFE" w:rsidR="005B6E8D" w:rsidRPr="007C266E" w:rsidRDefault="00712DA8" w:rsidP="002500F7">
      <w:pPr>
        <w:pStyle w:val="ListParagraph"/>
        <w:numPr>
          <w:ilvl w:val="0"/>
          <w:numId w:val="11"/>
        </w:num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Ponderea energiei din surse regenerabile în consumul final brut de energie electrică (SRE –E);</w:t>
      </w:r>
    </w:p>
    <w:p w14:paraId="3180BB72" w14:textId="77777777" w:rsidR="00712DA8" w:rsidRPr="007C266E" w:rsidRDefault="00712DA8" w:rsidP="002500F7">
      <w:pPr>
        <w:pStyle w:val="ListParagraph"/>
        <w:numPr>
          <w:ilvl w:val="0"/>
          <w:numId w:val="11"/>
        </w:num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Ponderea energiei din surse regenerabile în consumul final brut de energie în sectorul de încălzire și răcire (SRE – Î&amp;R); </w:t>
      </w:r>
    </w:p>
    <w:p w14:paraId="32A3DE41" w14:textId="610C16D3" w:rsidR="00712DA8" w:rsidRPr="007C266E" w:rsidRDefault="00712DA8" w:rsidP="002500F7">
      <w:pPr>
        <w:pStyle w:val="ListParagraph"/>
        <w:numPr>
          <w:ilvl w:val="0"/>
          <w:numId w:val="11"/>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Ponderea energiei din surse regenerabile în consumul final brut de energie în sectorul transporturilor (SRE – T).</w:t>
      </w:r>
    </w:p>
    <w:p w14:paraId="53923549" w14:textId="26E1234F" w:rsidR="003411A0" w:rsidRPr="007C266E" w:rsidRDefault="003411A0" w:rsidP="004B4A53">
      <w:pPr>
        <w:spacing w:after="0" w:line="240" w:lineRule="auto"/>
        <w:ind w:left="360"/>
        <w:rPr>
          <w:rFonts w:ascii="Times New Roman" w:hAnsi="Times New Roman" w:cs="Times New Roman"/>
          <w:sz w:val="23"/>
          <w:szCs w:val="23"/>
          <w:lang w:val="ro-RO"/>
        </w:rPr>
      </w:pPr>
    </w:p>
    <w:p w14:paraId="2B130AE9" w14:textId="77777777" w:rsidR="00712DA8" w:rsidRPr="007C266E" w:rsidRDefault="00712DA8" w:rsidP="004B4A53">
      <w:pPr>
        <w:spacing w:after="0" w:line="240" w:lineRule="auto"/>
        <w:rPr>
          <w:rFonts w:ascii="Times New Roman" w:hAnsi="Times New Roman" w:cs="Times New Roman"/>
          <w:sz w:val="23"/>
          <w:szCs w:val="23"/>
          <w:lang w:val="ro-RO"/>
        </w:rPr>
      </w:pPr>
      <w:r w:rsidRPr="007C266E">
        <w:rPr>
          <w:rFonts w:ascii="Times New Roman" w:hAnsi="Times New Roman" w:cs="Times New Roman"/>
          <w:b/>
          <w:sz w:val="23"/>
          <w:szCs w:val="23"/>
          <w:lang w:val="ro-RO"/>
        </w:rPr>
        <w:lastRenderedPageBreak/>
        <w:t>SRE – E</w:t>
      </w:r>
    </w:p>
    <w:p w14:paraId="2880F171" w14:textId="610555C6" w:rsidR="00756D0A" w:rsidRDefault="00F34EF2"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noProof/>
          <w:sz w:val="23"/>
          <w:szCs w:val="23"/>
        </w:rPr>
        <w:drawing>
          <wp:anchor distT="0" distB="0" distL="114300" distR="114300" simplePos="0" relativeHeight="251681792" behindDoc="0" locked="0" layoutInCell="1" allowOverlap="1" wp14:anchorId="4C6072BF" wp14:editId="7DD40D0D">
            <wp:simplePos x="0" y="0"/>
            <wp:positionH relativeFrom="column">
              <wp:posOffset>49530</wp:posOffset>
            </wp:positionH>
            <wp:positionV relativeFrom="page">
              <wp:posOffset>2866390</wp:posOffset>
            </wp:positionV>
            <wp:extent cx="2752725" cy="2444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52725" cy="2444750"/>
                    </a:xfrm>
                    <a:prstGeom prst="rect">
                      <a:avLst/>
                    </a:prstGeom>
                    <a:noFill/>
                  </pic:spPr>
                </pic:pic>
              </a:graphicData>
            </a:graphic>
            <wp14:sizeRelH relativeFrom="page">
              <wp14:pctWidth>0</wp14:pctWidth>
            </wp14:sizeRelH>
            <wp14:sizeRelV relativeFrom="page">
              <wp14:pctHeight>0</wp14:pctHeight>
            </wp14:sizeRelV>
          </wp:anchor>
        </w:drawing>
      </w:r>
      <w:r w:rsidR="00712DA8" w:rsidRPr="007C266E">
        <w:rPr>
          <w:rFonts w:ascii="Times New Roman" w:hAnsi="Times New Roman" w:cs="Times New Roman"/>
          <w:sz w:val="23"/>
          <w:szCs w:val="23"/>
          <w:lang w:val="ro-RO"/>
        </w:rPr>
        <w:t xml:space="preserve">Principalele surse de energie regenerabilă </w:t>
      </w:r>
      <w:r w:rsidR="003411A0" w:rsidRPr="007C266E">
        <w:rPr>
          <w:rFonts w:ascii="Times New Roman" w:hAnsi="Times New Roman" w:cs="Times New Roman"/>
          <w:sz w:val="23"/>
          <w:szCs w:val="23"/>
          <w:lang w:val="ro-RO"/>
        </w:rPr>
        <w:t>în consumul final brut de energie electrică sunt hidroenergia, energia eoliană și energia solară, astfel:</w:t>
      </w:r>
    </w:p>
    <w:p w14:paraId="24B884AB" w14:textId="77777777" w:rsidR="00756D0A" w:rsidRDefault="00756D0A" w:rsidP="004B4A53">
      <w:pPr>
        <w:spacing w:line="240" w:lineRule="auto"/>
        <w:jc w:val="both"/>
        <w:rPr>
          <w:rFonts w:ascii="Times New Roman" w:hAnsi="Times New Roman" w:cs="Times New Roman"/>
          <w:sz w:val="23"/>
          <w:szCs w:val="23"/>
          <w:lang w:val="ro-RO"/>
        </w:rPr>
      </w:pPr>
    </w:p>
    <w:p w14:paraId="40147C5C" w14:textId="77777777" w:rsidR="00557CF5" w:rsidRPr="007C266E" w:rsidRDefault="00557CF5" w:rsidP="00557CF5">
      <w:pPr>
        <w:pStyle w:val="Caption"/>
        <w:jc w:val="both"/>
        <w:rPr>
          <w:rFonts w:ascii="Times New Roman" w:hAnsi="Times New Roman" w:cs="Times New Roman"/>
          <w:color w:val="auto"/>
          <w:sz w:val="23"/>
          <w:szCs w:val="23"/>
          <w:lang w:val="ro-RO"/>
        </w:rPr>
      </w:pPr>
      <w:r w:rsidRPr="007C266E">
        <w:rPr>
          <w:rFonts w:ascii="Times New Roman" w:hAnsi="Times New Roman" w:cs="Times New Roman"/>
          <w:color w:val="auto"/>
          <w:sz w:val="23"/>
          <w:szCs w:val="23"/>
          <w:lang w:val="ro-RO"/>
        </w:rPr>
        <w:t>Sursă: Ministerul Economiei, Energiei și Mediului de Afaceri</w:t>
      </w:r>
    </w:p>
    <w:tbl>
      <w:tblPr>
        <w:tblStyle w:val="TableGrid"/>
        <w:tblW w:w="3906" w:type="dxa"/>
        <w:tblInd w:w="108" w:type="dxa"/>
        <w:tblLook w:val="04A0" w:firstRow="1" w:lastRow="0" w:firstColumn="1" w:lastColumn="0" w:noHBand="0" w:noVBand="1"/>
      </w:tblPr>
      <w:tblGrid>
        <w:gridCol w:w="1872"/>
        <w:gridCol w:w="1014"/>
        <w:gridCol w:w="1020"/>
      </w:tblGrid>
      <w:tr w:rsidR="006A4321" w:rsidRPr="007C266E" w14:paraId="03F4BE94" w14:textId="77777777" w:rsidTr="00714502">
        <w:trPr>
          <w:tblHeader/>
        </w:trPr>
        <w:tc>
          <w:tcPr>
            <w:tcW w:w="1872" w:type="dxa"/>
          </w:tcPr>
          <w:p w14:paraId="6B77C170" w14:textId="77777777" w:rsidR="006A4321" w:rsidRPr="007C266E" w:rsidRDefault="006A4321" w:rsidP="00714502">
            <w:pPr>
              <w:rPr>
                <w:rFonts w:ascii="Times New Roman" w:hAnsi="Times New Roman" w:cs="Times New Roman"/>
                <w:b/>
                <w:sz w:val="23"/>
                <w:szCs w:val="23"/>
                <w:lang w:val="ro-RO"/>
              </w:rPr>
            </w:pPr>
            <w:r w:rsidRPr="007C266E">
              <w:rPr>
                <w:rFonts w:ascii="Times New Roman" w:hAnsi="Times New Roman" w:cs="Times New Roman"/>
                <w:b/>
                <w:sz w:val="23"/>
                <w:szCs w:val="23"/>
                <w:lang w:val="ro-RO"/>
              </w:rPr>
              <w:t>ktep</w:t>
            </w:r>
          </w:p>
        </w:tc>
        <w:tc>
          <w:tcPr>
            <w:tcW w:w="1014" w:type="dxa"/>
          </w:tcPr>
          <w:p w14:paraId="6C44D182" w14:textId="77777777" w:rsidR="006A4321" w:rsidRPr="007C266E" w:rsidRDefault="006A4321" w:rsidP="00714502">
            <w:pPr>
              <w:rPr>
                <w:rFonts w:ascii="Times New Roman" w:hAnsi="Times New Roman" w:cs="Times New Roman"/>
                <w:b/>
                <w:sz w:val="23"/>
                <w:szCs w:val="23"/>
                <w:lang w:val="ro-RO"/>
              </w:rPr>
            </w:pPr>
            <w:r w:rsidRPr="007C266E">
              <w:rPr>
                <w:rFonts w:ascii="Times New Roman" w:hAnsi="Times New Roman" w:cs="Times New Roman"/>
                <w:b/>
                <w:sz w:val="23"/>
                <w:szCs w:val="23"/>
                <w:lang w:val="ro-RO"/>
              </w:rPr>
              <w:t>2020</w:t>
            </w:r>
          </w:p>
        </w:tc>
        <w:tc>
          <w:tcPr>
            <w:tcW w:w="1020" w:type="dxa"/>
          </w:tcPr>
          <w:p w14:paraId="272650C1" w14:textId="77777777" w:rsidR="006A4321" w:rsidRPr="007C266E" w:rsidRDefault="006A4321" w:rsidP="00714502">
            <w:pPr>
              <w:rPr>
                <w:rFonts w:ascii="Times New Roman" w:hAnsi="Times New Roman" w:cs="Times New Roman"/>
                <w:b/>
                <w:sz w:val="23"/>
                <w:szCs w:val="23"/>
                <w:lang w:val="ro-RO"/>
              </w:rPr>
            </w:pPr>
            <w:r w:rsidRPr="007C266E">
              <w:rPr>
                <w:rFonts w:ascii="Times New Roman" w:hAnsi="Times New Roman" w:cs="Times New Roman"/>
                <w:b/>
                <w:sz w:val="23"/>
                <w:szCs w:val="23"/>
                <w:lang w:val="ro-RO"/>
              </w:rPr>
              <w:t>2030</w:t>
            </w:r>
          </w:p>
        </w:tc>
      </w:tr>
      <w:tr w:rsidR="006A4321" w:rsidRPr="007C266E" w14:paraId="61C5ABC6" w14:textId="77777777" w:rsidTr="00714502">
        <w:tc>
          <w:tcPr>
            <w:tcW w:w="1872" w:type="dxa"/>
            <w:vAlign w:val="bottom"/>
          </w:tcPr>
          <w:p w14:paraId="5F3FEBA9" w14:textId="77777777" w:rsidR="006A4321" w:rsidRPr="007C266E" w:rsidRDefault="006A4321" w:rsidP="00714502">
            <w:pPr>
              <w:rPr>
                <w:rFonts w:ascii="Times New Roman" w:hAnsi="Times New Roman" w:cs="Times New Roman"/>
                <w:sz w:val="23"/>
                <w:szCs w:val="23"/>
                <w:lang w:val="ro-RO"/>
              </w:rPr>
            </w:pPr>
            <w:r w:rsidRPr="007C266E">
              <w:rPr>
                <w:rFonts w:ascii="Times New Roman" w:hAnsi="Times New Roman" w:cs="Times New Roman"/>
                <w:sz w:val="23"/>
                <w:szCs w:val="23"/>
                <w:lang w:val="ro-RO"/>
              </w:rPr>
              <w:t>Hidroenergie</w:t>
            </w:r>
          </w:p>
        </w:tc>
        <w:tc>
          <w:tcPr>
            <w:tcW w:w="1014" w:type="dxa"/>
            <w:vAlign w:val="center"/>
          </w:tcPr>
          <w:p w14:paraId="32409F91" w14:textId="77777777" w:rsidR="006A4321" w:rsidRPr="007C266E" w:rsidRDefault="006A4321" w:rsidP="00714502">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1.415,9</w:t>
            </w:r>
          </w:p>
        </w:tc>
        <w:tc>
          <w:tcPr>
            <w:tcW w:w="1020" w:type="dxa"/>
            <w:vAlign w:val="center"/>
          </w:tcPr>
          <w:p w14:paraId="74364A1A" w14:textId="77777777" w:rsidR="006A4321" w:rsidRPr="007C266E" w:rsidRDefault="006A4321" w:rsidP="00714502">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1.460,3</w:t>
            </w:r>
          </w:p>
        </w:tc>
      </w:tr>
      <w:tr w:rsidR="006A4321" w:rsidRPr="007C266E" w14:paraId="3F7931E6" w14:textId="77777777" w:rsidTr="00714502">
        <w:tc>
          <w:tcPr>
            <w:tcW w:w="1872" w:type="dxa"/>
            <w:vAlign w:val="bottom"/>
          </w:tcPr>
          <w:p w14:paraId="775BAD28" w14:textId="77777777" w:rsidR="006A4321" w:rsidRPr="007C266E" w:rsidRDefault="006A4321" w:rsidP="00714502">
            <w:pPr>
              <w:rPr>
                <w:rFonts w:ascii="Times New Roman" w:hAnsi="Times New Roman" w:cs="Times New Roman"/>
                <w:sz w:val="23"/>
                <w:szCs w:val="23"/>
                <w:lang w:val="ro-RO"/>
              </w:rPr>
            </w:pPr>
            <w:r w:rsidRPr="007C266E">
              <w:rPr>
                <w:rFonts w:ascii="Times New Roman" w:hAnsi="Times New Roman" w:cs="Times New Roman"/>
                <w:sz w:val="23"/>
                <w:szCs w:val="23"/>
                <w:lang w:val="ro-RO"/>
              </w:rPr>
              <w:t>Eolian</w:t>
            </w:r>
          </w:p>
        </w:tc>
        <w:tc>
          <w:tcPr>
            <w:tcW w:w="1014" w:type="dxa"/>
            <w:vAlign w:val="center"/>
          </w:tcPr>
          <w:p w14:paraId="130EDCC2" w14:textId="77777777" w:rsidR="006A4321" w:rsidRPr="007C266E" w:rsidRDefault="006A4321" w:rsidP="00714502">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564,6</w:t>
            </w:r>
          </w:p>
        </w:tc>
        <w:tc>
          <w:tcPr>
            <w:tcW w:w="1020" w:type="dxa"/>
            <w:vAlign w:val="center"/>
          </w:tcPr>
          <w:p w14:paraId="3C37B074" w14:textId="77777777" w:rsidR="006A4321" w:rsidRPr="007C266E" w:rsidRDefault="006A4321" w:rsidP="00714502">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1004,9</w:t>
            </w:r>
          </w:p>
        </w:tc>
      </w:tr>
      <w:tr w:rsidR="006A4321" w:rsidRPr="007C266E" w14:paraId="4375A9C4" w14:textId="77777777" w:rsidTr="00714502">
        <w:tc>
          <w:tcPr>
            <w:tcW w:w="1872" w:type="dxa"/>
            <w:vAlign w:val="bottom"/>
          </w:tcPr>
          <w:p w14:paraId="277C23A4" w14:textId="77777777" w:rsidR="006A4321" w:rsidRPr="007C266E" w:rsidRDefault="006A4321" w:rsidP="00714502">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Solar</w:t>
            </w:r>
          </w:p>
        </w:tc>
        <w:tc>
          <w:tcPr>
            <w:tcW w:w="1014" w:type="dxa"/>
            <w:vAlign w:val="center"/>
          </w:tcPr>
          <w:p w14:paraId="6070114F" w14:textId="77777777" w:rsidR="006A4321" w:rsidRPr="007C266E" w:rsidRDefault="006A4321" w:rsidP="00714502">
            <w:pPr>
              <w:rPr>
                <w:rFonts w:ascii="Times New Roman" w:hAnsi="Times New Roman" w:cs="Times New Roman"/>
                <w:color w:val="000000"/>
                <w:sz w:val="23"/>
                <w:szCs w:val="23"/>
                <w:lang w:val="ro-RO"/>
              </w:rPr>
            </w:pPr>
            <w:r w:rsidRPr="007C266E">
              <w:rPr>
                <w:rFonts w:ascii="Times New Roman" w:hAnsi="Times New Roman" w:cs="Times New Roman"/>
                <w:color w:val="000000"/>
                <w:sz w:val="23"/>
                <w:szCs w:val="23"/>
                <w:lang w:val="ro-RO"/>
              </w:rPr>
              <w:t>170,4</w:t>
            </w:r>
          </w:p>
        </w:tc>
        <w:tc>
          <w:tcPr>
            <w:tcW w:w="1020" w:type="dxa"/>
            <w:vAlign w:val="center"/>
          </w:tcPr>
          <w:p w14:paraId="4654EF85" w14:textId="77777777" w:rsidR="006A4321" w:rsidRPr="007C266E" w:rsidRDefault="006A4321" w:rsidP="00714502">
            <w:pPr>
              <w:rPr>
                <w:rFonts w:ascii="Times New Roman" w:hAnsi="Times New Roman" w:cs="Times New Roman"/>
                <w:color w:val="000000"/>
                <w:sz w:val="23"/>
                <w:szCs w:val="23"/>
                <w:lang w:val="ro-RO"/>
              </w:rPr>
            </w:pPr>
            <w:r w:rsidRPr="007C266E">
              <w:rPr>
                <w:rFonts w:ascii="Times New Roman" w:hAnsi="Times New Roman" w:cs="Times New Roman"/>
                <w:color w:val="000000"/>
                <w:sz w:val="23"/>
                <w:szCs w:val="23"/>
                <w:lang w:val="ro-RO"/>
              </w:rPr>
              <w:t>632,6</w:t>
            </w:r>
          </w:p>
        </w:tc>
      </w:tr>
      <w:tr w:rsidR="006A4321" w:rsidRPr="007C266E" w14:paraId="4A491F4F" w14:textId="77777777" w:rsidTr="00714502">
        <w:tc>
          <w:tcPr>
            <w:tcW w:w="1872" w:type="dxa"/>
            <w:vAlign w:val="bottom"/>
          </w:tcPr>
          <w:p w14:paraId="13FEA5FD" w14:textId="77777777" w:rsidR="006A4321" w:rsidRPr="007C266E" w:rsidRDefault="006A4321" w:rsidP="00714502">
            <w:pPr>
              <w:rPr>
                <w:rFonts w:ascii="Times New Roman" w:hAnsi="Times New Roman" w:cs="Times New Roman"/>
                <w:color w:val="000000"/>
                <w:sz w:val="23"/>
                <w:szCs w:val="23"/>
                <w:lang w:val="ro-RO"/>
              </w:rPr>
            </w:pPr>
            <w:r w:rsidRPr="007C266E">
              <w:rPr>
                <w:rFonts w:ascii="Times New Roman" w:hAnsi="Times New Roman" w:cs="Times New Roman"/>
                <w:color w:val="000000"/>
                <w:sz w:val="23"/>
                <w:szCs w:val="23"/>
                <w:lang w:val="ro-RO"/>
              </w:rPr>
              <w:t>Alte surse regenerabile</w:t>
            </w:r>
          </w:p>
        </w:tc>
        <w:tc>
          <w:tcPr>
            <w:tcW w:w="1014" w:type="dxa"/>
            <w:vAlign w:val="center"/>
          </w:tcPr>
          <w:p w14:paraId="2B328FF6" w14:textId="77777777" w:rsidR="006A4321" w:rsidRPr="007C266E" w:rsidRDefault="006A4321" w:rsidP="00714502">
            <w:pPr>
              <w:rPr>
                <w:rFonts w:ascii="Times New Roman" w:hAnsi="Times New Roman" w:cs="Times New Roman"/>
                <w:color w:val="000000"/>
                <w:sz w:val="23"/>
                <w:szCs w:val="23"/>
                <w:lang w:val="ro-RO"/>
              </w:rPr>
            </w:pPr>
            <w:r w:rsidRPr="007C266E">
              <w:rPr>
                <w:rFonts w:ascii="Times New Roman" w:hAnsi="Times New Roman" w:cs="Times New Roman"/>
                <w:color w:val="000000"/>
                <w:sz w:val="23"/>
                <w:szCs w:val="23"/>
                <w:lang w:val="ro-RO"/>
              </w:rPr>
              <w:t>77,4</w:t>
            </w:r>
          </w:p>
        </w:tc>
        <w:tc>
          <w:tcPr>
            <w:tcW w:w="1020" w:type="dxa"/>
            <w:vAlign w:val="center"/>
          </w:tcPr>
          <w:p w14:paraId="4DC99AEC" w14:textId="77777777" w:rsidR="006A4321" w:rsidRPr="007C266E" w:rsidRDefault="006A4321" w:rsidP="00714502">
            <w:pPr>
              <w:rPr>
                <w:rFonts w:ascii="Times New Roman" w:hAnsi="Times New Roman" w:cs="Times New Roman"/>
                <w:color w:val="000000"/>
                <w:sz w:val="23"/>
                <w:szCs w:val="23"/>
                <w:lang w:val="ro-RO"/>
              </w:rPr>
            </w:pPr>
            <w:r w:rsidRPr="007C266E">
              <w:rPr>
                <w:rFonts w:ascii="Times New Roman" w:hAnsi="Times New Roman" w:cs="Times New Roman"/>
                <w:color w:val="000000"/>
                <w:sz w:val="23"/>
                <w:szCs w:val="23"/>
                <w:lang w:val="ro-RO"/>
              </w:rPr>
              <w:t>77,4</w:t>
            </w:r>
          </w:p>
        </w:tc>
      </w:tr>
      <w:tr w:rsidR="006A4321" w:rsidRPr="007C266E" w14:paraId="6D962328" w14:textId="77777777" w:rsidTr="00714502">
        <w:tc>
          <w:tcPr>
            <w:tcW w:w="1872" w:type="dxa"/>
            <w:vAlign w:val="bottom"/>
          </w:tcPr>
          <w:p w14:paraId="7242EFCA" w14:textId="77777777" w:rsidR="006A4321" w:rsidRPr="007C266E" w:rsidRDefault="006A4321" w:rsidP="00714502">
            <w:pPr>
              <w:rPr>
                <w:rFonts w:ascii="Times New Roman" w:hAnsi="Times New Roman" w:cs="Times New Roman"/>
                <w:color w:val="000000"/>
                <w:sz w:val="23"/>
                <w:szCs w:val="23"/>
                <w:lang w:val="ro-RO"/>
              </w:rPr>
            </w:pPr>
            <w:r w:rsidRPr="007C266E">
              <w:rPr>
                <w:rFonts w:ascii="Times New Roman" w:hAnsi="Times New Roman" w:cs="Times New Roman"/>
                <w:b/>
                <w:bCs/>
                <w:color w:val="000000"/>
                <w:sz w:val="23"/>
                <w:szCs w:val="23"/>
                <w:lang w:val="ro-RO"/>
              </w:rPr>
              <w:t>Total consum final brut de energie electrică din surse regenerabile</w:t>
            </w:r>
          </w:p>
        </w:tc>
        <w:tc>
          <w:tcPr>
            <w:tcW w:w="1014" w:type="dxa"/>
            <w:vAlign w:val="center"/>
          </w:tcPr>
          <w:p w14:paraId="0CF60D46" w14:textId="77777777" w:rsidR="006A4321" w:rsidRPr="007C266E" w:rsidRDefault="006A4321" w:rsidP="00714502">
            <w:pPr>
              <w:rPr>
                <w:rFonts w:ascii="Times New Roman" w:hAnsi="Times New Roman" w:cs="Times New Roman"/>
                <w:color w:val="000000"/>
                <w:sz w:val="23"/>
                <w:szCs w:val="23"/>
                <w:lang w:val="ro-RO"/>
              </w:rPr>
            </w:pPr>
            <w:r w:rsidRPr="007C266E">
              <w:rPr>
                <w:rFonts w:ascii="Times New Roman" w:hAnsi="Times New Roman" w:cs="Times New Roman"/>
                <w:b/>
                <w:bCs/>
                <w:color w:val="000000"/>
                <w:sz w:val="23"/>
                <w:szCs w:val="23"/>
                <w:lang w:val="ro-RO"/>
              </w:rPr>
              <w:t>2,228,4</w:t>
            </w:r>
          </w:p>
        </w:tc>
        <w:tc>
          <w:tcPr>
            <w:tcW w:w="1020" w:type="dxa"/>
            <w:vAlign w:val="center"/>
          </w:tcPr>
          <w:p w14:paraId="5667F7B1" w14:textId="77777777" w:rsidR="006A4321" w:rsidRPr="007C266E" w:rsidRDefault="006A4321" w:rsidP="00714502">
            <w:pPr>
              <w:rPr>
                <w:rFonts w:ascii="Times New Roman" w:hAnsi="Times New Roman" w:cs="Times New Roman"/>
                <w:sz w:val="23"/>
                <w:szCs w:val="23"/>
                <w:lang w:val="ro-RO"/>
              </w:rPr>
            </w:pPr>
            <w:r w:rsidRPr="007C266E">
              <w:rPr>
                <w:rFonts w:ascii="Times New Roman" w:hAnsi="Times New Roman" w:cs="Times New Roman"/>
                <w:b/>
                <w:bCs/>
                <w:color w:val="000000"/>
                <w:sz w:val="23"/>
                <w:szCs w:val="23"/>
                <w:lang w:val="ro-RO"/>
              </w:rPr>
              <w:t>3.175,2</w:t>
            </w:r>
          </w:p>
        </w:tc>
      </w:tr>
    </w:tbl>
    <w:p w14:paraId="3E03B284" w14:textId="77777777" w:rsidR="006A4321" w:rsidRPr="007C266E" w:rsidRDefault="006A4321" w:rsidP="006A4321">
      <w:pPr>
        <w:pStyle w:val="Caption"/>
        <w:jc w:val="both"/>
        <w:rPr>
          <w:rFonts w:ascii="Times New Roman" w:hAnsi="Times New Roman" w:cs="Times New Roman"/>
          <w:b/>
          <w:color w:val="auto"/>
          <w:sz w:val="23"/>
          <w:szCs w:val="23"/>
          <w:lang w:val="ro-RO"/>
        </w:rPr>
      </w:pPr>
      <w:r w:rsidRPr="007C266E">
        <w:rPr>
          <w:rFonts w:ascii="Times New Roman" w:hAnsi="Times New Roman" w:cs="Times New Roman"/>
          <w:color w:val="auto"/>
          <w:sz w:val="23"/>
          <w:szCs w:val="23"/>
          <w:lang w:val="ro-RO"/>
        </w:rPr>
        <w:t>Sursă: Ministerul Economiei, Energiei și Mediului de Afaceri</w:t>
      </w:r>
    </w:p>
    <w:p w14:paraId="6C95C353" w14:textId="77777777" w:rsidR="00F7012D" w:rsidRPr="007C266E" w:rsidRDefault="00473AC7" w:rsidP="004B4A53">
      <w:pPr>
        <w:spacing w:line="240" w:lineRule="auto"/>
        <w:rPr>
          <w:rFonts w:ascii="Times New Roman" w:hAnsi="Times New Roman" w:cs="Times New Roman"/>
          <w:sz w:val="23"/>
          <w:szCs w:val="23"/>
          <w:lang w:val="ro-RO"/>
        </w:rPr>
      </w:pPr>
      <w:r w:rsidRPr="007C266E">
        <w:rPr>
          <w:rFonts w:ascii="Times New Roman" w:hAnsi="Times New Roman" w:cs="Times New Roman"/>
          <w:sz w:val="23"/>
          <w:szCs w:val="23"/>
          <w:lang w:val="ro-RO"/>
        </w:rPr>
        <w:t>Ț</w:t>
      </w:r>
      <w:r w:rsidR="0008042D" w:rsidRPr="007C266E">
        <w:rPr>
          <w:rFonts w:ascii="Times New Roman" w:hAnsi="Times New Roman" w:cs="Times New Roman"/>
          <w:sz w:val="23"/>
          <w:szCs w:val="23"/>
          <w:lang w:val="ro-RO"/>
        </w:rPr>
        <w:t xml:space="preserve">inta SRE – E va avea o valoare de 44% în 2020, respectiv </w:t>
      </w:r>
      <w:r w:rsidR="00F7012D" w:rsidRPr="007C266E">
        <w:rPr>
          <w:rFonts w:ascii="Times New Roman" w:hAnsi="Times New Roman" w:cs="Times New Roman"/>
          <w:sz w:val="23"/>
          <w:szCs w:val="23"/>
          <w:lang w:val="ro-RO"/>
        </w:rPr>
        <w:t>49,4% în 2030:</w:t>
      </w:r>
    </w:p>
    <w:p w14:paraId="667CE030" w14:textId="77777777" w:rsidR="009E40F6" w:rsidRDefault="009E40F6" w:rsidP="004B4A53">
      <w:pPr>
        <w:spacing w:line="240" w:lineRule="auto"/>
        <w:rPr>
          <w:rFonts w:ascii="Times New Roman" w:hAnsi="Times New Roman" w:cs="Times New Roman"/>
          <w:b/>
          <w:sz w:val="23"/>
          <w:szCs w:val="23"/>
          <w:lang w:val="ro-RO"/>
        </w:rPr>
      </w:pPr>
    </w:p>
    <w:p w14:paraId="4B059F1D" w14:textId="77777777" w:rsidR="00756D0A" w:rsidRDefault="00756D0A" w:rsidP="004B4A53">
      <w:pPr>
        <w:spacing w:line="240" w:lineRule="auto"/>
        <w:rPr>
          <w:rFonts w:ascii="Times New Roman" w:hAnsi="Times New Roman" w:cs="Times New Roman"/>
          <w:b/>
          <w:sz w:val="23"/>
          <w:szCs w:val="23"/>
          <w:lang w:val="ro-RO"/>
        </w:rPr>
      </w:pPr>
    </w:p>
    <w:p w14:paraId="303CFB25" w14:textId="77777777" w:rsidR="003411A0" w:rsidRPr="007C266E" w:rsidRDefault="003411A0" w:rsidP="004B4A53">
      <w:pPr>
        <w:spacing w:line="240" w:lineRule="auto"/>
        <w:rPr>
          <w:rFonts w:ascii="Times New Roman" w:hAnsi="Times New Roman" w:cs="Times New Roman"/>
          <w:sz w:val="23"/>
          <w:szCs w:val="23"/>
          <w:lang w:val="ro-RO"/>
        </w:rPr>
      </w:pPr>
      <w:r w:rsidRPr="007C266E">
        <w:rPr>
          <w:rFonts w:ascii="Times New Roman" w:hAnsi="Times New Roman" w:cs="Times New Roman"/>
          <w:b/>
          <w:sz w:val="23"/>
          <w:szCs w:val="23"/>
          <w:lang w:val="ro-RO"/>
        </w:rPr>
        <w:lastRenderedPageBreak/>
        <w:t>SRE – Î&amp;R</w:t>
      </w:r>
    </w:p>
    <w:p w14:paraId="2E7B988E" w14:textId="77777777" w:rsidR="003411A0" w:rsidRPr="007C266E" w:rsidRDefault="003411A0"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Principalele surse de energie regenerabilă în consumul final brut de energie în sectorul încălzire și răcire provin din pompe de căldură și căldură derivată, astfel:</w:t>
      </w:r>
    </w:p>
    <w:p w14:paraId="505F4168" w14:textId="2D1C94D3" w:rsidR="001837ED" w:rsidRPr="007C266E" w:rsidRDefault="001837ED" w:rsidP="001837ED">
      <w:pPr>
        <w:pStyle w:val="Caption"/>
        <w:jc w:val="both"/>
        <w:rPr>
          <w:rFonts w:ascii="Times New Roman" w:hAnsi="Times New Roman" w:cs="Times New Roman"/>
          <w:color w:val="auto"/>
          <w:sz w:val="23"/>
          <w:szCs w:val="23"/>
          <w:lang w:val="ro-RO"/>
        </w:rPr>
      </w:pPr>
      <w:r w:rsidRPr="007C266E">
        <w:rPr>
          <w:rFonts w:ascii="Times New Roman" w:hAnsi="Times New Roman" w:cs="Times New Roman"/>
          <w:noProof/>
          <w:sz w:val="23"/>
          <w:szCs w:val="23"/>
        </w:rPr>
        <w:drawing>
          <wp:inline distT="0" distB="0" distL="0" distR="0" wp14:anchorId="715D1FA6" wp14:editId="1C942096">
            <wp:extent cx="2728759" cy="1790299"/>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39352" cy="1797249"/>
                    </a:xfrm>
                    <a:prstGeom prst="rect">
                      <a:avLst/>
                    </a:prstGeom>
                    <a:noFill/>
                  </pic:spPr>
                </pic:pic>
              </a:graphicData>
            </a:graphic>
          </wp:inline>
        </w:drawing>
      </w:r>
      <w:r w:rsidRPr="007C266E">
        <w:rPr>
          <w:rFonts w:ascii="Times New Roman" w:hAnsi="Times New Roman" w:cs="Times New Roman"/>
          <w:color w:val="auto"/>
          <w:sz w:val="23"/>
          <w:szCs w:val="23"/>
          <w:lang w:val="ro-RO"/>
        </w:rPr>
        <w:t xml:space="preserve"> Sursă: M</w:t>
      </w:r>
      <w:r w:rsidR="009E40F6">
        <w:rPr>
          <w:rFonts w:ascii="Times New Roman" w:hAnsi="Times New Roman" w:cs="Times New Roman"/>
          <w:color w:val="auto"/>
          <w:sz w:val="23"/>
          <w:szCs w:val="23"/>
          <w:lang w:val="ro-RO"/>
        </w:rPr>
        <w:t xml:space="preserve">inisterul </w:t>
      </w:r>
      <w:r w:rsidRPr="007C266E">
        <w:rPr>
          <w:rFonts w:ascii="Times New Roman" w:hAnsi="Times New Roman" w:cs="Times New Roman"/>
          <w:color w:val="auto"/>
          <w:sz w:val="23"/>
          <w:szCs w:val="23"/>
          <w:lang w:val="ro-RO"/>
        </w:rPr>
        <w:t>Economiei, Energiei și Mediului de Afaceri</w:t>
      </w:r>
    </w:p>
    <w:tbl>
      <w:tblPr>
        <w:tblStyle w:val="TableGrid"/>
        <w:tblW w:w="0" w:type="auto"/>
        <w:tblInd w:w="108" w:type="dxa"/>
        <w:tblLook w:val="04A0" w:firstRow="1" w:lastRow="0" w:firstColumn="1" w:lastColumn="0" w:noHBand="0" w:noVBand="1"/>
      </w:tblPr>
      <w:tblGrid>
        <w:gridCol w:w="1512"/>
        <w:gridCol w:w="1116"/>
        <w:gridCol w:w="1260"/>
      </w:tblGrid>
      <w:tr w:rsidR="003411A0" w:rsidRPr="007C266E" w14:paraId="32B14983" w14:textId="77777777" w:rsidTr="00F7012D">
        <w:trPr>
          <w:tblHeader/>
        </w:trPr>
        <w:tc>
          <w:tcPr>
            <w:tcW w:w="1512" w:type="dxa"/>
          </w:tcPr>
          <w:p w14:paraId="56983875" w14:textId="77777777" w:rsidR="003411A0" w:rsidRPr="007C266E" w:rsidRDefault="003411A0" w:rsidP="006E1D2D">
            <w:pPr>
              <w:rPr>
                <w:rFonts w:ascii="Times New Roman" w:hAnsi="Times New Roman" w:cs="Times New Roman"/>
                <w:sz w:val="23"/>
                <w:szCs w:val="23"/>
                <w:lang w:val="ro-RO"/>
              </w:rPr>
            </w:pPr>
            <w:r w:rsidRPr="007C266E">
              <w:rPr>
                <w:rFonts w:ascii="Times New Roman" w:hAnsi="Times New Roman" w:cs="Times New Roman"/>
                <w:b/>
                <w:sz w:val="23"/>
                <w:szCs w:val="23"/>
                <w:lang w:val="ro-RO"/>
              </w:rPr>
              <w:t>ktep</w:t>
            </w:r>
          </w:p>
        </w:tc>
        <w:tc>
          <w:tcPr>
            <w:tcW w:w="1116" w:type="dxa"/>
          </w:tcPr>
          <w:p w14:paraId="28BAB52D" w14:textId="77777777" w:rsidR="003411A0" w:rsidRPr="007C266E" w:rsidRDefault="003411A0" w:rsidP="0038022C">
            <w:pPr>
              <w:rPr>
                <w:rFonts w:ascii="Times New Roman" w:hAnsi="Times New Roman" w:cs="Times New Roman"/>
                <w:sz w:val="23"/>
                <w:szCs w:val="23"/>
                <w:lang w:val="ro-RO"/>
              </w:rPr>
            </w:pPr>
            <w:r w:rsidRPr="007C266E">
              <w:rPr>
                <w:rFonts w:ascii="Times New Roman" w:hAnsi="Times New Roman" w:cs="Times New Roman"/>
                <w:b/>
                <w:sz w:val="23"/>
                <w:szCs w:val="23"/>
                <w:lang w:val="ro-RO"/>
              </w:rPr>
              <w:t>2020</w:t>
            </w:r>
          </w:p>
        </w:tc>
        <w:tc>
          <w:tcPr>
            <w:tcW w:w="1260" w:type="dxa"/>
          </w:tcPr>
          <w:p w14:paraId="1DC53C91" w14:textId="77777777" w:rsidR="003411A0" w:rsidRPr="007C266E" w:rsidRDefault="003411A0" w:rsidP="00A86877">
            <w:pPr>
              <w:rPr>
                <w:rFonts w:ascii="Times New Roman" w:hAnsi="Times New Roman" w:cs="Times New Roman"/>
                <w:sz w:val="23"/>
                <w:szCs w:val="23"/>
                <w:lang w:val="ro-RO"/>
              </w:rPr>
            </w:pPr>
            <w:r w:rsidRPr="007C266E">
              <w:rPr>
                <w:rFonts w:ascii="Times New Roman" w:hAnsi="Times New Roman" w:cs="Times New Roman"/>
                <w:b/>
                <w:sz w:val="23"/>
                <w:szCs w:val="23"/>
                <w:lang w:val="ro-RO"/>
              </w:rPr>
              <w:t>2030</w:t>
            </w:r>
          </w:p>
        </w:tc>
      </w:tr>
      <w:tr w:rsidR="003411A0" w:rsidRPr="007C266E" w14:paraId="2096F042" w14:textId="77777777" w:rsidTr="00F7012D">
        <w:tc>
          <w:tcPr>
            <w:tcW w:w="1512" w:type="dxa"/>
            <w:vAlign w:val="center"/>
          </w:tcPr>
          <w:p w14:paraId="565E0154" w14:textId="77777777" w:rsidR="003411A0" w:rsidRPr="007C266E" w:rsidRDefault="003411A0" w:rsidP="006E1D2D">
            <w:pPr>
              <w:rPr>
                <w:rFonts w:ascii="Times New Roman" w:hAnsi="Times New Roman" w:cs="Times New Roman"/>
                <w:sz w:val="23"/>
                <w:szCs w:val="23"/>
                <w:lang w:val="ro-RO"/>
              </w:rPr>
            </w:pPr>
            <w:bookmarkStart w:id="49" w:name="RANGE!A21"/>
            <w:r w:rsidRPr="007C266E">
              <w:rPr>
                <w:rFonts w:ascii="Times New Roman" w:hAnsi="Times New Roman" w:cs="Times New Roman"/>
                <w:color w:val="000000"/>
                <w:sz w:val="23"/>
                <w:szCs w:val="23"/>
                <w:lang w:val="ro-RO"/>
              </w:rPr>
              <w:t xml:space="preserve">Consum final de energie </w:t>
            </w:r>
            <w:bookmarkEnd w:id="49"/>
          </w:p>
        </w:tc>
        <w:tc>
          <w:tcPr>
            <w:tcW w:w="1116" w:type="dxa"/>
            <w:vAlign w:val="center"/>
          </w:tcPr>
          <w:p w14:paraId="6F65CC14" w14:textId="77777777" w:rsidR="003411A0" w:rsidRPr="007C266E" w:rsidRDefault="003411A0" w:rsidP="0038022C">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3.481,2</w:t>
            </w:r>
          </w:p>
        </w:tc>
        <w:tc>
          <w:tcPr>
            <w:tcW w:w="1260" w:type="dxa"/>
            <w:vAlign w:val="center"/>
          </w:tcPr>
          <w:p w14:paraId="2F530FEE" w14:textId="77777777" w:rsidR="003411A0" w:rsidRPr="007C266E" w:rsidRDefault="003411A0" w:rsidP="00A86877">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4.026,5</w:t>
            </w:r>
          </w:p>
        </w:tc>
      </w:tr>
      <w:tr w:rsidR="003411A0" w:rsidRPr="007C266E" w14:paraId="52251AE0" w14:textId="77777777" w:rsidTr="00F7012D">
        <w:tc>
          <w:tcPr>
            <w:tcW w:w="1512" w:type="dxa"/>
            <w:vAlign w:val="center"/>
          </w:tcPr>
          <w:p w14:paraId="598BE2CD" w14:textId="77777777" w:rsidR="003411A0" w:rsidRPr="007C266E" w:rsidRDefault="003411A0" w:rsidP="006E1D2D">
            <w:pPr>
              <w:rPr>
                <w:rFonts w:ascii="Times New Roman" w:hAnsi="Times New Roman" w:cs="Times New Roman"/>
                <w:sz w:val="23"/>
                <w:szCs w:val="23"/>
                <w:lang w:val="ro-RO"/>
              </w:rPr>
            </w:pPr>
            <w:bookmarkStart w:id="50" w:name="RANGE!A22"/>
            <w:r w:rsidRPr="007C266E">
              <w:rPr>
                <w:rFonts w:ascii="Times New Roman" w:hAnsi="Times New Roman" w:cs="Times New Roman"/>
                <w:color w:val="000000"/>
                <w:sz w:val="23"/>
                <w:szCs w:val="23"/>
                <w:lang w:val="ro-RO"/>
              </w:rPr>
              <w:t xml:space="preserve">Căldură derivată </w:t>
            </w:r>
            <w:bookmarkEnd w:id="50"/>
          </w:p>
        </w:tc>
        <w:tc>
          <w:tcPr>
            <w:tcW w:w="1116" w:type="dxa"/>
            <w:vAlign w:val="center"/>
          </w:tcPr>
          <w:p w14:paraId="6688AF9B" w14:textId="77777777" w:rsidR="003411A0" w:rsidRPr="007C266E" w:rsidRDefault="003411A0" w:rsidP="0038022C">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76,2</w:t>
            </w:r>
          </w:p>
        </w:tc>
        <w:tc>
          <w:tcPr>
            <w:tcW w:w="1260" w:type="dxa"/>
            <w:vAlign w:val="center"/>
          </w:tcPr>
          <w:p w14:paraId="24C5C50C" w14:textId="77777777" w:rsidR="003411A0" w:rsidRPr="007C266E" w:rsidRDefault="003411A0" w:rsidP="00A86877">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263,7</w:t>
            </w:r>
          </w:p>
        </w:tc>
      </w:tr>
      <w:tr w:rsidR="003411A0" w:rsidRPr="007C266E" w14:paraId="2850C2BA" w14:textId="77777777" w:rsidTr="00F7012D">
        <w:tc>
          <w:tcPr>
            <w:tcW w:w="1512" w:type="dxa"/>
            <w:vAlign w:val="center"/>
          </w:tcPr>
          <w:p w14:paraId="7484E215" w14:textId="77777777" w:rsidR="003411A0" w:rsidRPr="007C266E" w:rsidRDefault="003411A0" w:rsidP="006E1D2D">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 xml:space="preserve">Pompe de căldură </w:t>
            </w:r>
          </w:p>
        </w:tc>
        <w:tc>
          <w:tcPr>
            <w:tcW w:w="1116" w:type="dxa"/>
            <w:vAlign w:val="center"/>
          </w:tcPr>
          <w:p w14:paraId="28E2303F" w14:textId="77777777" w:rsidR="003411A0" w:rsidRPr="007C266E" w:rsidRDefault="003411A0" w:rsidP="0038022C">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w:t>
            </w:r>
          </w:p>
        </w:tc>
        <w:tc>
          <w:tcPr>
            <w:tcW w:w="1260" w:type="dxa"/>
            <w:vAlign w:val="center"/>
          </w:tcPr>
          <w:p w14:paraId="0861BB07" w14:textId="77777777" w:rsidR="003411A0" w:rsidRPr="007C266E" w:rsidRDefault="003411A0" w:rsidP="00A86877">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119,6</w:t>
            </w:r>
          </w:p>
        </w:tc>
      </w:tr>
      <w:tr w:rsidR="003411A0" w:rsidRPr="007C266E" w14:paraId="2AFB76D4" w14:textId="77777777" w:rsidTr="00F7012D">
        <w:tc>
          <w:tcPr>
            <w:tcW w:w="1512" w:type="dxa"/>
            <w:vAlign w:val="center"/>
          </w:tcPr>
          <w:p w14:paraId="3D4B227A" w14:textId="77777777" w:rsidR="003411A0" w:rsidRPr="007C266E" w:rsidRDefault="003411A0" w:rsidP="006E1D2D">
            <w:pPr>
              <w:rPr>
                <w:rFonts w:ascii="Times New Roman" w:hAnsi="Times New Roman" w:cs="Times New Roman"/>
                <w:sz w:val="23"/>
                <w:szCs w:val="23"/>
                <w:lang w:val="ro-RO"/>
              </w:rPr>
            </w:pPr>
            <w:r w:rsidRPr="007C266E">
              <w:rPr>
                <w:rFonts w:ascii="Times New Roman" w:hAnsi="Times New Roman" w:cs="Times New Roman"/>
                <w:b/>
                <w:bCs/>
                <w:color w:val="000000"/>
                <w:sz w:val="23"/>
                <w:szCs w:val="23"/>
                <w:lang w:val="ro-RO"/>
              </w:rPr>
              <w:t>Total consum final brut de energie electrică din surse regenerabile în sectorul Încălzire &amp; Răcire</w:t>
            </w:r>
          </w:p>
        </w:tc>
        <w:tc>
          <w:tcPr>
            <w:tcW w:w="1116" w:type="dxa"/>
            <w:vAlign w:val="center"/>
          </w:tcPr>
          <w:p w14:paraId="0676720C" w14:textId="77777777" w:rsidR="003411A0" w:rsidRPr="007C266E" w:rsidRDefault="003411A0" w:rsidP="0038022C">
            <w:pPr>
              <w:rPr>
                <w:rFonts w:ascii="Times New Roman" w:hAnsi="Times New Roman" w:cs="Times New Roman"/>
                <w:sz w:val="23"/>
                <w:szCs w:val="23"/>
                <w:lang w:val="ro-RO"/>
              </w:rPr>
            </w:pPr>
            <w:r w:rsidRPr="007C266E">
              <w:rPr>
                <w:rFonts w:ascii="Times New Roman" w:hAnsi="Times New Roman" w:cs="Times New Roman"/>
                <w:b/>
                <w:bCs/>
                <w:color w:val="000000"/>
                <w:sz w:val="23"/>
                <w:szCs w:val="23"/>
                <w:lang w:val="ro-RO"/>
              </w:rPr>
              <w:t>3.557,4</w:t>
            </w:r>
          </w:p>
        </w:tc>
        <w:tc>
          <w:tcPr>
            <w:tcW w:w="1260" w:type="dxa"/>
            <w:vAlign w:val="center"/>
          </w:tcPr>
          <w:p w14:paraId="0901F407" w14:textId="77777777" w:rsidR="003411A0" w:rsidRPr="007C266E" w:rsidRDefault="003411A0" w:rsidP="00A86877">
            <w:pPr>
              <w:rPr>
                <w:rFonts w:ascii="Times New Roman" w:hAnsi="Times New Roman" w:cs="Times New Roman"/>
                <w:sz w:val="23"/>
                <w:szCs w:val="23"/>
                <w:lang w:val="ro-RO"/>
              </w:rPr>
            </w:pPr>
            <w:r w:rsidRPr="007C266E">
              <w:rPr>
                <w:rFonts w:ascii="Times New Roman" w:hAnsi="Times New Roman" w:cs="Times New Roman"/>
                <w:b/>
                <w:bCs/>
                <w:color w:val="000000"/>
                <w:sz w:val="23"/>
                <w:szCs w:val="23"/>
                <w:lang w:val="ro-RO"/>
              </w:rPr>
              <w:t>4.409,8</w:t>
            </w:r>
          </w:p>
        </w:tc>
      </w:tr>
    </w:tbl>
    <w:p w14:paraId="0C0A6508" w14:textId="77777777" w:rsidR="0008042D" w:rsidRPr="007C266E" w:rsidRDefault="0008042D" w:rsidP="006E1D2D">
      <w:pPr>
        <w:pStyle w:val="Caption"/>
        <w:jc w:val="both"/>
        <w:rPr>
          <w:rFonts w:ascii="Times New Roman" w:hAnsi="Times New Roman" w:cs="Times New Roman"/>
          <w:color w:val="auto"/>
          <w:sz w:val="23"/>
          <w:szCs w:val="23"/>
          <w:lang w:val="ro-RO"/>
        </w:rPr>
      </w:pPr>
      <w:r w:rsidRPr="007C266E">
        <w:rPr>
          <w:rFonts w:ascii="Times New Roman" w:hAnsi="Times New Roman" w:cs="Times New Roman"/>
          <w:color w:val="auto"/>
          <w:sz w:val="23"/>
          <w:szCs w:val="23"/>
          <w:lang w:val="ro-RO"/>
        </w:rPr>
        <w:t>Sursă: Ministerul Economiei, Energiei și Mediului de Afaceri</w:t>
      </w:r>
    </w:p>
    <w:p w14:paraId="05D2985C" w14:textId="77777777" w:rsidR="009E388F" w:rsidRPr="007C266E" w:rsidRDefault="00473AC7" w:rsidP="004B4A53">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Ținta SRE – Î&amp;R va avea o valoare de 25,2% în 2020, respectiv </w:t>
      </w:r>
      <w:r w:rsidR="009E388F" w:rsidRPr="007C266E">
        <w:rPr>
          <w:rFonts w:ascii="Times New Roman" w:hAnsi="Times New Roman" w:cs="Times New Roman"/>
          <w:sz w:val="23"/>
          <w:szCs w:val="23"/>
          <w:lang w:val="ro-RO"/>
        </w:rPr>
        <w:t>33% în 2030:</w:t>
      </w:r>
    </w:p>
    <w:p w14:paraId="79B2E8F0" w14:textId="77777777" w:rsidR="001837ED" w:rsidRPr="007C266E" w:rsidRDefault="001837ED" w:rsidP="004B4A53">
      <w:pPr>
        <w:spacing w:after="0" w:line="240" w:lineRule="auto"/>
        <w:jc w:val="both"/>
        <w:rPr>
          <w:rFonts w:ascii="Times New Roman" w:hAnsi="Times New Roman" w:cs="Times New Roman"/>
          <w:b/>
          <w:sz w:val="23"/>
          <w:szCs w:val="23"/>
          <w:lang w:val="ro-RO"/>
        </w:rPr>
      </w:pPr>
    </w:p>
    <w:p w14:paraId="5CF3EA3B" w14:textId="77777777" w:rsidR="009E388F" w:rsidRPr="007C266E" w:rsidRDefault="009E388F" w:rsidP="004B4A53">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b/>
          <w:sz w:val="23"/>
          <w:szCs w:val="23"/>
          <w:lang w:val="ro-RO"/>
        </w:rPr>
        <w:t>SRE – T</w:t>
      </w:r>
    </w:p>
    <w:p w14:paraId="146DC57C" w14:textId="77777777" w:rsidR="009E388F" w:rsidRPr="007C266E" w:rsidRDefault="009E388F" w:rsidP="004B4A53">
      <w:pPr>
        <w:spacing w:after="0" w:line="240" w:lineRule="auto"/>
        <w:jc w:val="both"/>
        <w:rPr>
          <w:rFonts w:ascii="Times New Roman" w:hAnsi="Times New Roman" w:cs="Times New Roman"/>
          <w:sz w:val="23"/>
          <w:szCs w:val="23"/>
          <w:lang w:val="ro-RO"/>
        </w:rPr>
      </w:pPr>
    </w:p>
    <w:p w14:paraId="523DD6AD" w14:textId="207D9607" w:rsidR="009E388F" w:rsidRPr="007C266E" w:rsidRDefault="009E388F" w:rsidP="004B4A53">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sectorul transporturilor, biocarburanții de generația I și generația a II-a vor contribui semnificativ la atingerea țintei, pe lângă </w:t>
      </w:r>
      <w:r w:rsidRPr="007C266E">
        <w:rPr>
          <w:rFonts w:ascii="Times New Roman" w:hAnsi="Times New Roman" w:cs="Times New Roman"/>
          <w:sz w:val="23"/>
          <w:szCs w:val="23"/>
          <w:lang w:val="ro-RO"/>
        </w:rPr>
        <w:lastRenderedPageBreak/>
        <w:t>energia electrică din surse regenerabile în transportul rutier și cel feroviar,</w:t>
      </w:r>
      <w:r w:rsidR="00CF501C" w:rsidRPr="007C266E">
        <w:rPr>
          <w:rFonts w:ascii="Times New Roman" w:hAnsi="Times New Roman" w:cs="Times New Roman"/>
          <w:sz w:val="23"/>
          <w:szCs w:val="23"/>
          <w:lang w:val="ro-RO"/>
        </w:rPr>
        <w:t xml:space="preserve"> astfel:</w:t>
      </w:r>
    </w:p>
    <w:p w14:paraId="5F0FE5C7" w14:textId="114F8FE6" w:rsidR="00557CF5" w:rsidRPr="007C266E" w:rsidRDefault="00D10EFB" w:rsidP="004B4A53">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noProof/>
          <w:sz w:val="23"/>
          <w:szCs w:val="23"/>
        </w:rPr>
        <w:drawing>
          <wp:anchor distT="0" distB="0" distL="114300" distR="114300" simplePos="0" relativeHeight="251686912" behindDoc="0" locked="0" layoutInCell="1" allowOverlap="1" wp14:anchorId="57B047B5" wp14:editId="3450217A">
            <wp:simplePos x="0" y="0"/>
            <wp:positionH relativeFrom="column">
              <wp:posOffset>13970</wp:posOffset>
            </wp:positionH>
            <wp:positionV relativeFrom="paragraph">
              <wp:posOffset>77470</wp:posOffset>
            </wp:positionV>
            <wp:extent cx="2762250" cy="20066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2250" cy="2006600"/>
                    </a:xfrm>
                    <a:prstGeom prst="rect">
                      <a:avLst/>
                    </a:prstGeom>
                    <a:noFill/>
                  </pic:spPr>
                </pic:pic>
              </a:graphicData>
            </a:graphic>
            <wp14:sizeRelH relativeFrom="page">
              <wp14:pctWidth>0</wp14:pctWidth>
            </wp14:sizeRelH>
            <wp14:sizeRelV relativeFrom="page">
              <wp14:pctHeight>0</wp14:pctHeight>
            </wp14:sizeRelV>
          </wp:anchor>
        </w:drawing>
      </w:r>
    </w:p>
    <w:p w14:paraId="71E90D11" w14:textId="77777777" w:rsidR="00D10EFB" w:rsidRPr="007C266E" w:rsidRDefault="00D10EFB" w:rsidP="00D10EFB">
      <w:pPr>
        <w:pStyle w:val="Caption"/>
        <w:jc w:val="both"/>
        <w:rPr>
          <w:rFonts w:ascii="Times New Roman" w:hAnsi="Times New Roman" w:cs="Times New Roman"/>
          <w:color w:val="auto"/>
          <w:sz w:val="23"/>
          <w:szCs w:val="23"/>
          <w:lang w:val="ro-RO"/>
        </w:rPr>
      </w:pPr>
      <w:r w:rsidRPr="007C266E">
        <w:rPr>
          <w:rFonts w:ascii="Times New Roman" w:hAnsi="Times New Roman" w:cs="Times New Roman"/>
          <w:color w:val="auto"/>
          <w:sz w:val="23"/>
          <w:szCs w:val="23"/>
          <w:lang w:val="ro-RO"/>
        </w:rPr>
        <w:t>Sursă: Ministerul Economiei, Energiei și Mediului de Afaceri</w:t>
      </w:r>
    </w:p>
    <w:tbl>
      <w:tblPr>
        <w:tblStyle w:val="TableGrid"/>
        <w:tblW w:w="0" w:type="auto"/>
        <w:tblInd w:w="108" w:type="dxa"/>
        <w:tblLook w:val="04A0" w:firstRow="1" w:lastRow="0" w:firstColumn="1" w:lastColumn="0" w:noHBand="0" w:noVBand="1"/>
      </w:tblPr>
      <w:tblGrid>
        <w:gridCol w:w="1790"/>
        <w:gridCol w:w="1048"/>
        <w:gridCol w:w="1080"/>
      </w:tblGrid>
      <w:tr w:rsidR="00CF501C" w:rsidRPr="007C266E" w14:paraId="0C42CF9E" w14:textId="77777777" w:rsidTr="00D10EFB">
        <w:trPr>
          <w:tblHeader/>
        </w:trPr>
        <w:tc>
          <w:tcPr>
            <w:tcW w:w="1790" w:type="dxa"/>
          </w:tcPr>
          <w:p w14:paraId="1C828D3E" w14:textId="77777777" w:rsidR="00CF501C" w:rsidRPr="007C266E" w:rsidRDefault="00CF501C" w:rsidP="006E1D2D">
            <w:pPr>
              <w:jc w:val="both"/>
              <w:rPr>
                <w:rFonts w:ascii="Times New Roman" w:hAnsi="Times New Roman" w:cs="Times New Roman"/>
                <w:sz w:val="23"/>
                <w:szCs w:val="23"/>
                <w:lang w:val="ro-RO"/>
              </w:rPr>
            </w:pPr>
            <w:r w:rsidRPr="007C266E">
              <w:rPr>
                <w:rFonts w:ascii="Times New Roman" w:hAnsi="Times New Roman" w:cs="Times New Roman"/>
                <w:b/>
                <w:sz w:val="23"/>
                <w:szCs w:val="23"/>
                <w:lang w:val="ro-RO"/>
              </w:rPr>
              <w:t>ktep</w:t>
            </w:r>
          </w:p>
        </w:tc>
        <w:tc>
          <w:tcPr>
            <w:tcW w:w="1048" w:type="dxa"/>
          </w:tcPr>
          <w:p w14:paraId="57714383" w14:textId="77777777" w:rsidR="00CF501C" w:rsidRPr="007C266E" w:rsidRDefault="00CF501C" w:rsidP="0038022C">
            <w:pPr>
              <w:jc w:val="both"/>
              <w:rPr>
                <w:rFonts w:ascii="Times New Roman" w:hAnsi="Times New Roman" w:cs="Times New Roman"/>
                <w:sz w:val="23"/>
                <w:szCs w:val="23"/>
                <w:lang w:val="ro-RO"/>
              </w:rPr>
            </w:pPr>
            <w:r w:rsidRPr="007C266E">
              <w:rPr>
                <w:rFonts w:ascii="Times New Roman" w:hAnsi="Times New Roman" w:cs="Times New Roman"/>
                <w:b/>
                <w:sz w:val="23"/>
                <w:szCs w:val="23"/>
                <w:lang w:val="ro-RO"/>
              </w:rPr>
              <w:t>2020</w:t>
            </w:r>
          </w:p>
        </w:tc>
        <w:tc>
          <w:tcPr>
            <w:tcW w:w="1080" w:type="dxa"/>
          </w:tcPr>
          <w:p w14:paraId="2F37D713" w14:textId="77777777" w:rsidR="00CF501C" w:rsidRPr="007C266E" w:rsidRDefault="00CF501C" w:rsidP="00A86877">
            <w:pPr>
              <w:jc w:val="both"/>
              <w:rPr>
                <w:rFonts w:ascii="Times New Roman" w:hAnsi="Times New Roman" w:cs="Times New Roman"/>
                <w:sz w:val="23"/>
                <w:szCs w:val="23"/>
                <w:lang w:val="ro-RO"/>
              </w:rPr>
            </w:pPr>
            <w:r w:rsidRPr="007C266E">
              <w:rPr>
                <w:rFonts w:ascii="Times New Roman" w:hAnsi="Times New Roman" w:cs="Times New Roman"/>
                <w:b/>
                <w:sz w:val="23"/>
                <w:szCs w:val="23"/>
                <w:lang w:val="ro-RO"/>
              </w:rPr>
              <w:t>2030</w:t>
            </w:r>
          </w:p>
        </w:tc>
      </w:tr>
      <w:tr w:rsidR="00CF501C" w:rsidRPr="007C266E" w14:paraId="102080C9" w14:textId="77777777" w:rsidTr="00D10EFB">
        <w:trPr>
          <w:trHeight w:val="935"/>
        </w:trPr>
        <w:tc>
          <w:tcPr>
            <w:tcW w:w="1790" w:type="dxa"/>
            <w:vAlign w:val="center"/>
          </w:tcPr>
          <w:p w14:paraId="7A23A075" w14:textId="77777777" w:rsidR="00CF501C" w:rsidRPr="007C266E" w:rsidRDefault="00CF501C" w:rsidP="006E1D2D">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 xml:space="preserve">Energie electrică din surse regenerabile în transportul rutier </w:t>
            </w:r>
          </w:p>
        </w:tc>
        <w:tc>
          <w:tcPr>
            <w:tcW w:w="1048" w:type="dxa"/>
            <w:vAlign w:val="center"/>
          </w:tcPr>
          <w:p w14:paraId="43CFB452" w14:textId="77777777" w:rsidR="00CF501C" w:rsidRPr="007C266E" w:rsidRDefault="00CF501C" w:rsidP="0038022C">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2,2</w:t>
            </w:r>
          </w:p>
        </w:tc>
        <w:tc>
          <w:tcPr>
            <w:tcW w:w="1080" w:type="dxa"/>
            <w:vAlign w:val="center"/>
          </w:tcPr>
          <w:p w14:paraId="12458589" w14:textId="77777777" w:rsidR="00CF501C" w:rsidRPr="007C266E" w:rsidRDefault="00CF501C" w:rsidP="00A86877">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55,7</w:t>
            </w:r>
          </w:p>
        </w:tc>
      </w:tr>
      <w:tr w:rsidR="00CF501C" w:rsidRPr="007C266E" w14:paraId="7C936FBF" w14:textId="77777777" w:rsidTr="00D10EFB">
        <w:tc>
          <w:tcPr>
            <w:tcW w:w="1790" w:type="dxa"/>
            <w:vAlign w:val="center"/>
          </w:tcPr>
          <w:p w14:paraId="49F95258" w14:textId="77777777" w:rsidR="00CF501C" w:rsidRPr="007C266E" w:rsidRDefault="00CF501C" w:rsidP="006E1D2D">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 xml:space="preserve">Energie electrică din surse regenerabile în transportul feroviar </w:t>
            </w:r>
          </w:p>
        </w:tc>
        <w:tc>
          <w:tcPr>
            <w:tcW w:w="1048" w:type="dxa"/>
            <w:vAlign w:val="center"/>
          </w:tcPr>
          <w:p w14:paraId="7CD8E410" w14:textId="77777777" w:rsidR="00CF501C" w:rsidRPr="007C266E" w:rsidRDefault="00CF501C" w:rsidP="0038022C">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46,9</w:t>
            </w:r>
          </w:p>
        </w:tc>
        <w:tc>
          <w:tcPr>
            <w:tcW w:w="1080" w:type="dxa"/>
            <w:vAlign w:val="center"/>
          </w:tcPr>
          <w:p w14:paraId="27B241CF" w14:textId="77777777" w:rsidR="00CF501C" w:rsidRPr="007C266E" w:rsidRDefault="00CF501C" w:rsidP="00A86877">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97,6</w:t>
            </w:r>
          </w:p>
        </w:tc>
      </w:tr>
      <w:tr w:rsidR="00CF501C" w:rsidRPr="007C266E" w14:paraId="3F677421" w14:textId="77777777" w:rsidTr="00D10EFB">
        <w:tc>
          <w:tcPr>
            <w:tcW w:w="1790" w:type="dxa"/>
            <w:vAlign w:val="center"/>
          </w:tcPr>
          <w:p w14:paraId="3F32F284" w14:textId="77777777" w:rsidR="00CF501C" w:rsidRPr="007C266E" w:rsidRDefault="00CF501C" w:rsidP="006E1D2D">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Energie electrică din surse regenerabile în alte tipuri de transport</w:t>
            </w:r>
          </w:p>
        </w:tc>
        <w:tc>
          <w:tcPr>
            <w:tcW w:w="1048" w:type="dxa"/>
            <w:vAlign w:val="center"/>
          </w:tcPr>
          <w:p w14:paraId="208E7CCF" w14:textId="77777777" w:rsidR="00CF501C" w:rsidRPr="007C266E" w:rsidRDefault="00CF501C" w:rsidP="0038022C">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1,3</w:t>
            </w:r>
          </w:p>
        </w:tc>
        <w:tc>
          <w:tcPr>
            <w:tcW w:w="1080" w:type="dxa"/>
            <w:vAlign w:val="center"/>
          </w:tcPr>
          <w:p w14:paraId="1556D649" w14:textId="77777777" w:rsidR="00CF501C" w:rsidRPr="007C266E" w:rsidRDefault="00CF501C" w:rsidP="00A86877">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16,2</w:t>
            </w:r>
          </w:p>
        </w:tc>
      </w:tr>
      <w:tr w:rsidR="00CF501C" w:rsidRPr="007C266E" w14:paraId="6797600C" w14:textId="77777777" w:rsidTr="00D10EFB">
        <w:tc>
          <w:tcPr>
            <w:tcW w:w="1790" w:type="dxa"/>
            <w:vAlign w:val="bottom"/>
          </w:tcPr>
          <w:p w14:paraId="7EDEE602" w14:textId="77777777" w:rsidR="00CF501C" w:rsidRPr="007C266E" w:rsidRDefault="00CF501C" w:rsidP="006E1D2D">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Biocarburanți de generația I</w:t>
            </w:r>
          </w:p>
        </w:tc>
        <w:tc>
          <w:tcPr>
            <w:tcW w:w="1048" w:type="dxa"/>
            <w:vAlign w:val="center"/>
          </w:tcPr>
          <w:p w14:paraId="482ADAA1" w14:textId="77777777" w:rsidR="00CF501C" w:rsidRPr="007C266E" w:rsidRDefault="00CF501C" w:rsidP="0038022C">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505,7</w:t>
            </w:r>
          </w:p>
        </w:tc>
        <w:tc>
          <w:tcPr>
            <w:tcW w:w="1080" w:type="dxa"/>
            <w:vAlign w:val="center"/>
          </w:tcPr>
          <w:p w14:paraId="2F122EBA" w14:textId="77777777" w:rsidR="00CF501C" w:rsidRPr="007C266E" w:rsidRDefault="00CF501C" w:rsidP="00A86877">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474,3</w:t>
            </w:r>
          </w:p>
        </w:tc>
      </w:tr>
      <w:tr w:rsidR="00CF501C" w:rsidRPr="007C266E" w14:paraId="4B9D0BC7" w14:textId="77777777" w:rsidTr="00D10EFB">
        <w:tc>
          <w:tcPr>
            <w:tcW w:w="1790" w:type="dxa"/>
            <w:vAlign w:val="bottom"/>
          </w:tcPr>
          <w:p w14:paraId="354C9B54" w14:textId="77777777" w:rsidR="00CF501C" w:rsidRPr="007C266E" w:rsidRDefault="00CF501C" w:rsidP="006E1D2D">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Biocarburanți de generația a II-a</w:t>
            </w:r>
          </w:p>
        </w:tc>
        <w:tc>
          <w:tcPr>
            <w:tcW w:w="1048" w:type="dxa"/>
            <w:vAlign w:val="center"/>
          </w:tcPr>
          <w:p w14:paraId="56EFBFBA" w14:textId="77777777" w:rsidR="00CF501C" w:rsidRPr="007C266E" w:rsidRDefault="00CF501C" w:rsidP="0038022C">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w:t>
            </w:r>
          </w:p>
        </w:tc>
        <w:tc>
          <w:tcPr>
            <w:tcW w:w="1080" w:type="dxa"/>
            <w:vAlign w:val="center"/>
          </w:tcPr>
          <w:p w14:paraId="469B3715" w14:textId="77777777" w:rsidR="00CF501C" w:rsidRPr="007C266E" w:rsidRDefault="00CF501C" w:rsidP="00A86877">
            <w:pPr>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63,6</w:t>
            </w:r>
          </w:p>
        </w:tc>
      </w:tr>
      <w:tr w:rsidR="00CF501C" w:rsidRPr="007C266E" w14:paraId="4A6568E7" w14:textId="77777777" w:rsidTr="00D10EFB">
        <w:trPr>
          <w:trHeight w:val="1025"/>
        </w:trPr>
        <w:tc>
          <w:tcPr>
            <w:tcW w:w="1790" w:type="dxa"/>
            <w:vAlign w:val="center"/>
          </w:tcPr>
          <w:p w14:paraId="62D9A164" w14:textId="77777777" w:rsidR="00CF501C" w:rsidRPr="007C266E" w:rsidRDefault="00CF501C" w:rsidP="006E1D2D">
            <w:pPr>
              <w:rPr>
                <w:rFonts w:ascii="Times New Roman" w:hAnsi="Times New Roman" w:cs="Times New Roman"/>
                <w:sz w:val="23"/>
                <w:szCs w:val="23"/>
                <w:lang w:val="ro-RO"/>
              </w:rPr>
            </w:pPr>
            <w:r w:rsidRPr="007C266E">
              <w:rPr>
                <w:rFonts w:ascii="Times New Roman" w:hAnsi="Times New Roman" w:cs="Times New Roman"/>
                <w:b/>
                <w:bCs/>
                <w:color w:val="000000"/>
                <w:sz w:val="23"/>
                <w:szCs w:val="23"/>
                <w:lang w:val="ro-RO"/>
              </w:rPr>
              <w:t>Total consum final brut de energie din surse regenerabile în sectorul transporturilor</w:t>
            </w:r>
          </w:p>
        </w:tc>
        <w:tc>
          <w:tcPr>
            <w:tcW w:w="1048" w:type="dxa"/>
            <w:vAlign w:val="center"/>
          </w:tcPr>
          <w:p w14:paraId="521159D6" w14:textId="77777777" w:rsidR="00CF501C" w:rsidRPr="007C266E" w:rsidRDefault="00CF501C" w:rsidP="0038022C">
            <w:pPr>
              <w:rPr>
                <w:rFonts w:ascii="Times New Roman" w:hAnsi="Times New Roman" w:cs="Times New Roman"/>
                <w:sz w:val="23"/>
                <w:szCs w:val="23"/>
                <w:lang w:val="ro-RO"/>
              </w:rPr>
            </w:pPr>
            <w:r w:rsidRPr="007C266E">
              <w:rPr>
                <w:rFonts w:ascii="Times New Roman" w:hAnsi="Times New Roman" w:cs="Times New Roman"/>
                <w:b/>
                <w:bCs/>
                <w:color w:val="000000"/>
                <w:sz w:val="23"/>
                <w:szCs w:val="23"/>
                <w:lang w:val="ro-RO"/>
              </w:rPr>
              <w:t>635,4</w:t>
            </w:r>
          </w:p>
        </w:tc>
        <w:tc>
          <w:tcPr>
            <w:tcW w:w="1080" w:type="dxa"/>
            <w:vAlign w:val="center"/>
          </w:tcPr>
          <w:p w14:paraId="7EB03EC8" w14:textId="77777777" w:rsidR="00CF501C" w:rsidRPr="007C266E" w:rsidRDefault="00CF501C" w:rsidP="00A86877">
            <w:pPr>
              <w:rPr>
                <w:rFonts w:ascii="Times New Roman" w:hAnsi="Times New Roman" w:cs="Times New Roman"/>
                <w:sz w:val="23"/>
                <w:szCs w:val="23"/>
                <w:lang w:val="ro-RO"/>
              </w:rPr>
            </w:pPr>
            <w:r w:rsidRPr="007C266E">
              <w:rPr>
                <w:rFonts w:ascii="Times New Roman" w:hAnsi="Times New Roman" w:cs="Times New Roman"/>
                <w:b/>
                <w:bCs/>
                <w:color w:val="000000"/>
                <w:sz w:val="23"/>
                <w:szCs w:val="23"/>
                <w:lang w:val="ro-RO"/>
              </w:rPr>
              <w:t>989,9</w:t>
            </w:r>
          </w:p>
        </w:tc>
      </w:tr>
    </w:tbl>
    <w:p w14:paraId="2F7655A3" w14:textId="77777777" w:rsidR="00CF501C" w:rsidRPr="007C266E" w:rsidRDefault="008446E1" w:rsidP="006E1D2D">
      <w:pPr>
        <w:pStyle w:val="Caption"/>
        <w:jc w:val="both"/>
        <w:rPr>
          <w:rFonts w:ascii="Times New Roman" w:hAnsi="Times New Roman" w:cs="Times New Roman"/>
          <w:color w:val="auto"/>
          <w:sz w:val="23"/>
          <w:szCs w:val="23"/>
          <w:lang w:val="ro-RO"/>
        </w:rPr>
      </w:pPr>
      <w:r w:rsidRPr="007C266E">
        <w:rPr>
          <w:rFonts w:ascii="Times New Roman" w:hAnsi="Times New Roman" w:cs="Times New Roman"/>
          <w:color w:val="auto"/>
          <w:sz w:val="23"/>
          <w:szCs w:val="23"/>
          <w:lang w:val="ro-RO"/>
        </w:rPr>
        <w:t>Sursă: Ministerul Economiei, Energiei și Mediului de Afaceri</w:t>
      </w:r>
    </w:p>
    <w:p w14:paraId="69C02162" w14:textId="77777777" w:rsidR="00CF501C" w:rsidRPr="007C266E" w:rsidRDefault="00CF501C" w:rsidP="004B4A53">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În acest sens, ținta SRE – T va avea următoare evoluția în perioada 2020 – 2030:</w:t>
      </w:r>
    </w:p>
    <w:p w14:paraId="0ACD9E45" w14:textId="77777777" w:rsidR="00CF501C" w:rsidRPr="007C266E" w:rsidRDefault="00CF501C" w:rsidP="004B4A53">
      <w:pPr>
        <w:spacing w:after="0" w:line="240" w:lineRule="auto"/>
        <w:jc w:val="both"/>
        <w:rPr>
          <w:rFonts w:ascii="Times New Roman" w:hAnsi="Times New Roman" w:cs="Times New Roman"/>
          <w:sz w:val="23"/>
          <w:szCs w:val="23"/>
          <w:lang w:val="ro-RO"/>
        </w:rPr>
      </w:pPr>
    </w:p>
    <w:p w14:paraId="7DA20F4A" w14:textId="77777777" w:rsidR="00F7012D" w:rsidRPr="007C266E" w:rsidRDefault="00F7012D" w:rsidP="004B4A53">
      <w:pPr>
        <w:spacing w:after="0" w:line="240" w:lineRule="auto"/>
        <w:jc w:val="both"/>
        <w:rPr>
          <w:rFonts w:ascii="Times New Roman" w:hAnsi="Times New Roman" w:cs="Times New Roman"/>
          <w:b/>
          <w:sz w:val="23"/>
          <w:szCs w:val="23"/>
          <w:lang w:val="ro-RO"/>
        </w:rPr>
      </w:pPr>
    </w:p>
    <w:p w14:paraId="4D3183DE" w14:textId="77777777" w:rsidR="00CF501C" w:rsidRPr="007C266E" w:rsidRDefault="00CF501C" w:rsidP="004B4A53">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b/>
          <w:sz w:val="23"/>
          <w:szCs w:val="23"/>
          <w:lang w:val="ro-RO"/>
        </w:rPr>
        <w:t xml:space="preserve">Energia regenerabilă </w:t>
      </w:r>
      <w:r w:rsidR="00475F4E" w:rsidRPr="007C266E">
        <w:rPr>
          <w:rFonts w:ascii="Times New Roman" w:hAnsi="Times New Roman" w:cs="Times New Roman"/>
          <w:b/>
          <w:sz w:val="23"/>
          <w:szCs w:val="23"/>
          <w:lang w:val="ro-RO"/>
        </w:rPr>
        <w:t>în producția brută de energie electrică</w:t>
      </w:r>
    </w:p>
    <w:p w14:paraId="7F9CAA65" w14:textId="77777777" w:rsidR="00475F4E" w:rsidRPr="007C266E" w:rsidRDefault="00475F4E" w:rsidP="004B4A53">
      <w:pPr>
        <w:spacing w:after="0" w:line="240" w:lineRule="auto"/>
        <w:jc w:val="both"/>
        <w:rPr>
          <w:rFonts w:ascii="Times New Roman" w:hAnsi="Times New Roman" w:cs="Times New Roman"/>
          <w:sz w:val="23"/>
          <w:szCs w:val="23"/>
          <w:lang w:val="ro-RO"/>
        </w:rPr>
      </w:pPr>
    </w:p>
    <w:p w14:paraId="526A1D59" w14:textId="77777777" w:rsidR="00475F4E" w:rsidRPr="007C266E" w:rsidRDefault="00862746" w:rsidP="004B4A53">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sz w:val="23"/>
          <w:szCs w:val="23"/>
          <w:lang w:val="ro-RO"/>
        </w:rPr>
        <w:t xml:space="preserve">Este preconizat ca producția brută de energie electrică să atingă un nivel de 69,748 GWh </w:t>
      </w:r>
      <w:r w:rsidR="00335216" w:rsidRPr="007C266E">
        <w:rPr>
          <w:rFonts w:ascii="Times New Roman" w:hAnsi="Times New Roman" w:cs="Times New Roman"/>
          <w:sz w:val="23"/>
          <w:szCs w:val="23"/>
          <w:lang w:val="ro-RO"/>
        </w:rPr>
        <w:t>în 2020, respectiv 77,985 GWh în 2030, conform graficelor de mai jos:</w:t>
      </w:r>
    </w:p>
    <w:p w14:paraId="4BF4D0C6" w14:textId="77777777" w:rsidR="00475F4E" w:rsidRPr="007C266E" w:rsidRDefault="00475F4E" w:rsidP="004B4A53">
      <w:pPr>
        <w:spacing w:after="0" w:line="240" w:lineRule="auto"/>
        <w:jc w:val="both"/>
        <w:rPr>
          <w:rFonts w:ascii="Times New Roman" w:hAnsi="Times New Roman" w:cs="Times New Roman"/>
          <w:sz w:val="23"/>
          <w:szCs w:val="23"/>
          <w:lang w:val="ro-RO"/>
        </w:rPr>
      </w:pPr>
    </w:p>
    <w:p w14:paraId="09FA15EC" w14:textId="77777777" w:rsidR="00475F4E" w:rsidRPr="007C266E" w:rsidRDefault="00E24EB7" w:rsidP="004B4A53">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noProof/>
          <w:sz w:val="23"/>
          <w:szCs w:val="23"/>
        </w:rPr>
        <w:drawing>
          <wp:inline distT="0" distB="0" distL="0" distR="0" wp14:anchorId="5BC930B0" wp14:editId="505DBBC2">
            <wp:extent cx="2793805" cy="1663618"/>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15365" cy="1676456"/>
                    </a:xfrm>
                    <a:prstGeom prst="rect">
                      <a:avLst/>
                    </a:prstGeom>
                    <a:noFill/>
                  </pic:spPr>
                </pic:pic>
              </a:graphicData>
            </a:graphic>
          </wp:inline>
        </w:drawing>
      </w:r>
    </w:p>
    <w:p w14:paraId="5A27B7FA" w14:textId="77777777" w:rsidR="00475F4E" w:rsidRPr="007C266E" w:rsidRDefault="00E24EB7" w:rsidP="004B4A53">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noProof/>
          <w:sz w:val="23"/>
          <w:szCs w:val="23"/>
        </w:rPr>
        <w:drawing>
          <wp:inline distT="0" distB="0" distL="0" distR="0" wp14:anchorId="36F8E9ED" wp14:editId="06330AE2">
            <wp:extent cx="2790395" cy="1610938"/>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97721" cy="1615167"/>
                    </a:xfrm>
                    <a:prstGeom prst="rect">
                      <a:avLst/>
                    </a:prstGeom>
                    <a:noFill/>
                  </pic:spPr>
                </pic:pic>
              </a:graphicData>
            </a:graphic>
          </wp:inline>
        </w:drawing>
      </w:r>
    </w:p>
    <w:p w14:paraId="40C9E955" w14:textId="77777777" w:rsidR="00335216" w:rsidRPr="007C266E" w:rsidRDefault="00335216" w:rsidP="006E1D2D">
      <w:pPr>
        <w:pStyle w:val="Caption"/>
        <w:jc w:val="both"/>
        <w:rPr>
          <w:rFonts w:ascii="Times New Roman" w:hAnsi="Times New Roman" w:cs="Times New Roman"/>
          <w:color w:val="auto"/>
          <w:sz w:val="23"/>
          <w:szCs w:val="23"/>
          <w:lang w:val="ro-RO"/>
        </w:rPr>
      </w:pPr>
      <w:r w:rsidRPr="007C266E">
        <w:rPr>
          <w:rFonts w:ascii="Times New Roman" w:hAnsi="Times New Roman" w:cs="Times New Roman"/>
          <w:color w:val="auto"/>
          <w:sz w:val="23"/>
          <w:szCs w:val="23"/>
          <w:lang w:val="ro-RO"/>
        </w:rPr>
        <w:t>Sursă: Ministerul Economiei, Energiei și Mediului de Afaceri</w:t>
      </w:r>
    </w:p>
    <w:p w14:paraId="1D0930DB" w14:textId="77777777" w:rsidR="0090604F" w:rsidRPr="007C266E" w:rsidRDefault="0090604F"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Se preconizează </w:t>
      </w:r>
      <w:r w:rsidR="00B34427" w:rsidRPr="007C266E">
        <w:rPr>
          <w:rFonts w:ascii="Times New Roman" w:hAnsi="Times New Roman" w:cs="Times New Roman"/>
          <w:sz w:val="23"/>
          <w:szCs w:val="23"/>
          <w:lang w:val="ro-RO"/>
        </w:rPr>
        <w:t>creșteri</w:t>
      </w:r>
      <w:r w:rsidR="0053315D" w:rsidRPr="007C266E">
        <w:rPr>
          <w:rFonts w:ascii="Times New Roman" w:hAnsi="Times New Roman" w:cs="Times New Roman"/>
          <w:sz w:val="23"/>
          <w:szCs w:val="23"/>
          <w:lang w:val="ro-RO"/>
        </w:rPr>
        <w:t xml:space="preserve"> semnificativ</w:t>
      </w:r>
      <w:r w:rsidR="00B34427"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a producției de energie electrică </w:t>
      </w:r>
      <w:r w:rsidR="0053315D" w:rsidRPr="007C266E">
        <w:rPr>
          <w:rFonts w:ascii="Times New Roman" w:hAnsi="Times New Roman" w:cs="Times New Roman"/>
          <w:sz w:val="23"/>
          <w:szCs w:val="23"/>
          <w:lang w:val="ro-RO"/>
        </w:rPr>
        <w:t xml:space="preserve">din surse solare de la 1982 GWh în 2020 la 7357 GWh în 2030, </w:t>
      </w:r>
      <w:r w:rsidR="00B34427" w:rsidRPr="007C266E">
        <w:rPr>
          <w:rFonts w:ascii="Times New Roman" w:hAnsi="Times New Roman" w:cs="Times New Roman"/>
          <w:sz w:val="23"/>
          <w:szCs w:val="23"/>
          <w:lang w:val="ro-RO"/>
        </w:rPr>
        <w:t>respectiv din surse eoliene de la 7063 GWh în 2020 la 12571</w:t>
      </w:r>
      <w:r w:rsidR="0087126E" w:rsidRPr="007C266E">
        <w:rPr>
          <w:rFonts w:ascii="Times New Roman" w:hAnsi="Times New Roman" w:cs="Times New Roman"/>
          <w:sz w:val="23"/>
          <w:szCs w:val="23"/>
          <w:lang w:val="ro-RO"/>
        </w:rPr>
        <w:t xml:space="preserve"> GWh</w:t>
      </w:r>
      <w:r w:rsidR="00B34427" w:rsidRPr="007C266E">
        <w:rPr>
          <w:rFonts w:ascii="Times New Roman" w:hAnsi="Times New Roman" w:cs="Times New Roman"/>
          <w:sz w:val="23"/>
          <w:szCs w:val="23"/>
          <w:lang w:val="ro-RO"/>
        </w:rPr>
        <w:t xml:space="preserve"> în 2030. Per total, </w:t>
      </w:r>
      <w:r w:rsidR="0097411B" w:rsidRPr="007C266E">
        <w:rPr>
          <w:rFonts w:ascii="Times New Roman" w:hAnsi="Times New Roman" w:cs="Times New Roman"/>
          <w:sz w:val="23"/>
          <w:szCs w:val="23"/>
          <w:lang w:val="ro-RO"/>
        </w:rPr>
        <w:t xml:space="preserve">producția din surse regenerabile atinge un nivel de 39% din totalul producției brute de energie electrică în 2020, respectiv 49% în 2030. </w:t>
      </w:r>
    </w:p>
    <w:p w14:paraId="04A40646" w14:textId="77777777" w:rsidR="009E388F" w:rsidRPr="007C266E" w:rsidRDefault="00DA2D65" w:rsidP="004B4A53">
      <w:pPr>
        <w:pStyle w:val="Heading2"/>
        <w:spacing w:line="240" w:lineRule="auto"/>
        <w:rPr>
          <w:rFonts w:ascii="Times New Roman" w:hAnsi="Times New Roman" w:cs="Times New Roman"/>
          <w:sz w:val="23"/>
          <w:szCs w:val="23"/>
          <w:lang w:val="ro-RO"/>
        </w:rPr>
      </w:pPr>
      <w:bookmarkStart w:id="51" w:name="_Toc44400880"/>
      <w:r w:rsidRPr="007C266E">
        <w:rPr>
          <w:rFonts w:ascii="Times New Roman" w:hAnsi="Times New Roman" w:cs="Times New Roman"/>
          <w:sz w:val="23"/>
          <w:szCs w:val="23"/>
          <w:lang w:val="ro-RO"/>
        </w:rPr>
        <w:t>VI</w:t>
      </w:r>
      <w:r w:rsidR="00C43C61"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2</w:t>
      </w:r>
      <w:r w:rsidR="00C43C61"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ab/>
      </w:r>
      <w:r w:rsidR="00C43C61" w:rsidRPr="007C266E">
        <w:rPr>
          <w:rFonts w:ascii="Times New Roman" w:hAnsi="Times New Roman" w:cs="Times New Roman"/>
          <w:sz w:val="23"/>
          <w:szCs w:val="23"/>
          <w:lang w:val="ro-RO"/>
        </w:rPr>
        <w:t>E</w:t>
      </w:r>
      <w:r w:rsidR="00982FD4" w:rsidRPr="007C266E">
        <w:rPr>
          <w:rFonts w:ascii="Times New Roman" w:hAnsi="Times New Roman" w:cs="Times New Roman"/>
          <w:sz w:val="23"/>
          <w:szCs w:val="23"/>
          <w:lang w:val="ro-RO"/>
        </w:rPr>
        <w:t>ficiența energetică</w:t>
      </w:r>
      <w:bookmarkEnd w:id="51"/>
      <w:r w:rsidR="00982FD4" w:rsidRPr="007C266E">
        <w:rPr>
          <w:rFonts w:ascii="Times New Roman" w:hAnsi="Times New Roman" w:cs="Times New Roman"/>
          <w:sz w:val="23"/>
          <w:szCs w:val="23"/>
          <w:lang w:val="ro-RO"/>
        </w:rPr>
        <w:t xml:space="preserve"> </w:t>
      </w:r>
    </w:p>
    <w:p w14:paraId="23914E33" w14:textId="77777777" w:rsidR="00C43C61" w:rsidRPr="007C266E" w:rsidRDefault="00C43C61" w:rsidP="006E1D2D">
      <w:pPr>
        <w:spacing w:after="0" w:line="240" w:lineRule="auto"/>
        <w:jc w:val="both"/>
        <w:rPr>
          <w:rFonts w:ascii="Times New Roman" w:hAnsi="Times New Roman" w:cs="Times New Roman"/>
          <w:sz w:val="23"/>
          <w:szCs w:val="23"/>
          <w:lang w:val="ro-RO"/>
        </w:rPr>
      </w:pPr>
    </w:p>
    <w:p w14:paraId="1871B8CC" w14:textId="77777777" w:rsidR="00C43C61" w:rsidRPr="007C266E" w:rsidRDefault="00C43C61"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Eficiența energetică este adesea caracterizată, figurat, ca fiind forma cea mai valoroasă de </w:t>
      </w:r>
      <w:r w:rsidRPr="007C266E">
        <w:rPr>
          <w:rFonts w:ascii="Times New Roman" w:hAnsi="Times New Roman" w:cs="Times New Roman"/>
          <w:sz w:val="23"/>
          <w:szCs w:val="23"/>
          <w:lang w:val="ro-RO"/>
        </w:rPr>
        <w:lastRenderedPageBreak/>
        <w:t xml:space="preserve">energie, dat fiind </w:t>
      </w:r>
      <w:r w:rsidR="00982FD4" w:rsidRPr="007C266E">
        <w:rPr>
          <w:rFonts w:ascii="Times New Roman" w:hAnsi="Times New Roman" w:cs="Times New Roman"/>
          <w:sz w:val="23"/>
          <w:szCs w:val="23"/>
          <w:lang w:val="ro-RO"/>
        </w:rPr>
        <w:t xml:space="preserve">faptul </w:t>
      </w:r>
      <w:r w:rsidRPr="007C266E">
        <w:rPr>
          <w:rFonts w:ascii="Times New Roman" w:hAnsi="Times New Roman" w:cs="Times New Roman"/>
          <w:sz w:val="23"/>
          <w:szCs w:val="23"/>
          <w:lang w:val="ro-RO"/>
        </w:rPr>
        <w:t xml:space="preserve">că reduce costurile și impactul negativ asupra mediului înconjurător asociat cu consumul de energie, dar și dependența de importuri de energie. Potențialul cel mai ridicat de creștere a eficienței energetice în România se regăsește în încălzirea clădirilor, în transformarea resurselor energetice primare în energie electrică în centrale termoelectrice, în transportul și distribuția energiei electrice și a </w:t>
      </w:r>
      <w:r w:rsidR="00BA1FBD" w:rsidRPr="007C266E">
        <w:rPr>
          <w:rFonts w:ascii="Times New Roman" w:hAnsi="Times New Roman" w:cs="Times New Roman"/>
          <w:sz w:val="23"/>
          <w:szCs w:val="23"/>
          <w:lang w:val="ro-RO"/>
        </w:rPr>
        <w:t>gazelor naturale</w:t>
      </w:r>
      <w:r w:rsidRPr="007C266E">
        <w:rPr>
          <w:rFonts w:ascii="Times New Roman" w:hAnsi="Times New Roman" w:cs="Times New Roman"/>
          <w:sz w:val="23"/>
          <w:szCs w:val="23"/>
          <w:lang w:val="ro-RO"/>
        </w:rPr>
        <w:t>, respectiv în</w:t>
      </w:r>
      <w:r w:rsidR="000873EB" w:rsidRPr="007C266E">
        <w:rPr>
          <w:rFonts w:ascii="Times New Roman" w:hAnsi="Times New Roman" w:cs="Times New Roman"/>
          <w:sz w:val="23"/>
          <w:szCs w:val="23"/>
          <w:lang w:val="ro-RO"/>
        </w:rPr>
        <w:t xml:space="preserve"> transporturi și în industrie. </w:t>
      </w:r>
    </w:p>
    <w:p w14:paraId="5DCB1B69" w14:textId="77777777" w:rsidR="0097411B" w:rsidRPr="007C266E" w:rsidRDefault="0097411B" w:rsidP="00A86877">
      <w:pPr>
        <w:spacing w:after="0" w:line="240" w:lineRule="auto"/>
        <w:jc w:val="both"/>
        <w:rPr>
          <w:rFonts w:ascii="Times New Roman" w:hAnsi="Times New Roman" w:cs="Times New Roman"/>
          <w:sz w:val="23"/>
          <w:szCs w:val="23"/>
          <w:lang w:val="ro-RO"/>
        </w:rPr>
      </w:pPr>
    </w:p>
    <w:p w14:paraId="53E778EA" w14:textId="77777777" w:rsidR="0097411B" w:rsidRPr="007C266E" w:rsidRDefault="00361FDC"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La nivelul anului </w:t>
      </w:r>
      <w:r w:rsidR="00F12C52" w:rsidRPr="007C266E">
        <w:rPr>
          <w:rFonts w:ascii="Times New Roman" w:hAnsi="Times New Roman" w:cs="Times New Roman"/>
          <w:sz w:val="23"/>
          <w:szCs w:val="23"/>
          <w:lang w:val="ro-RO"/>
        </w:rPr>
        <w:t>2030 se preconizează că România va ajunge la un consum primar de energie de 32,3 Mtep, respectiv un consum final de 25,7 Mt</w:t>
      </w:r>
      <w:r w:rsidR="00934BD0" w:rsidRPr="007C266E">
        <w:rPr>
          <w:rFonts w:ascii="Times New Roman" w:hAnsi="Times New Roman" w:cs="Times New Roman"/>
          <w:sz w:val="23"/>
          <w:szCs w:val="23"/>
          <w:lang w:val="ro-RO"/>
        </w:rPr>
        <w:t>ep, reprezentând o reducere de 45,1% respectiv 40,4% față de scenariul PRIMES 2007.</w:t>
      </w:r>
      <w:r w:rsidR="00F12C52" w:rsidRPr="007C266E">
        <w:rPr>
          <w:rFonts w:ascii="Times New Roman" w:hAnsi="Times New Roman" w:cs="Times New Roman"/>
          <w:sz w:val="23"/>
          <w:szCs w:val="23"/>
          <w:lang w:val="ro-RO"/>
        </w:rPr>
        <w:t xml:space="preserve"> În tabelul de mai jos este prezentată defalcarea consumului final de energie pe sectoare:</w:t>
      </w:r>
    </w:p>
    <w:p w14:paraId="721686D1" w14:textId="77777777" w:rsidR="0028209B" w:rsidRPr="007C266E" w:rsidRDefault="0028209B" w:rsidP="002F5C09">
      <w:pPr>
        <w:spacing w:after="0" w:line="240" w:lineRule="auto"/>
        <w:jc w:val="both"/>
        <w:rPr>
          <w:rFonts w:ascii="Times New Roman" w:hAnsi="Times New Roman" w:cs="Times New Roman"/>
          <w:sz w:val="23"/>
          <w:szCs w:val="23"/>
          <w:lang w:val="ro-RO"/>
        </w:rPr>
      </w:pPr>
    </w:p>
    <w:tbl>
      <w:tblPr>
        <w:tblStyle w:val="TableGrid"/>
        <w:tblW w:w="0" w:type="auto"/>
        <w:tblInd w:w="108" w:type="dxa"/>
        <w:tblLook w:val="04A0" w:firstRow="1" w:lastRow="0" w:firstColumn="1" w:lastColumn="0" w:noHBand="0" w:noVBand="1"/>
      </w:tblPr>
      <w:tblGrid>
        <w:gridCol w:w="1309"/>
        <w:gridCol w:w="1440"/>
        <w:gridCol w:w="1260"/>
      </w:tblGrid>
      <w:tr w:rsidR="00F12C52" w:rsidRPr="007C266E" w14:paraId="775B7A56" w14:textId="77777777" w:rsidTr="00D10EFB">
        <w:trPr>
          <w:tblHeader/>
        </w:trPr>
        <w:tc>
          <w:tcPr>
            <w:tcW w:w="1309" w:type="dxa"/>
          </w:tcPr>
          <w:p w14:paraId="0D409E26" w14:textId="77777777" w:rsidR="00F12C52" w:rsidRPr="007C266E" w:rsidRDefault="00F12C52" w:rsidP="009E5804">
            <w:pPr>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ktep</w:t>
            </w:r>
          </w:p>
        </w:tc>
        <w:tc>
          <w:tcPr>
            <w:tcW w:w="1440" w:type="dxa"/>
          </w:tcPr>
          <w:p w14:paraId="02FFBEFF" w14:textId="77777777" w:rsidR="00F12C52" w:rsidRPr="007C266E" w:rsidRDefault="00F12C52" w:rsidP="009E5804">
            <w:pPr>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2020</w:t>
            </w:r>
          </w:p>
        </w:tc>
        <w:tc>
          <w:tcPr>
            <w:tcW w:w="1260" w:type="dxa"/>
          </w:tcPr>
          <w:p w14:paraId="284EF00A" w14:textId="77777777" w:rsidR="00F12C52" w:rsidRPr="007C266E" w:rsidRDefault="00F12C52" w:rsidP="009E5804">
            <w:pPr>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2030</w:t>
            </w:r>
          </w:p>
        </w:tc>
      </w:tr>
      <w:tr w:rsidR="00934BD0" w:rsidRPr="007C266E" w14:paraId="51DFE116" w14:textId="77777777" w:rsidTr="00D10EFB">
        <w:trPr>
          <w:tblHeader/>
        </w:trPr>
        <w:tc>
          <w:tcPr>
            <w:tcW w:w="1309" w:type="dxa"/>
            <w:vAlign w:val="center"/>
          </w:tcPr>
          <w:p w14:paraId="0B7129C2" w14:textId="77777777" w:rsidR="00934BD0" w:rsidRPr="007C266E" w:rsidRDefault="00934BD0" w:rsidP="006E1D2D">
            <w:pPr>
              <w:jc w:val="both"/>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Industrie</w:t>
            </w:r>
          </w:p>
        </w:tc>
        <w:tc>
          <w:tcPr>
            <w:tcW w:w="1440" w:type="dxa"/>
            <w:vAlign w:val="center"/>
          </w:tcPr>
          <w:p w14:paraId="0F5BBC57" w14:textId="77777777" w:rsidR="00934BD0" w:rsidRPr="007C266E" w:rsidRDefault="00934BD0" w:rsidP="00A86877">
            <w:pPr>
              <w:jc w:val="both"/>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 xml:space="preserve">        6.781 </w:t>
            </w:r>
          </w:p>
        </w:tc>
        <w:tc>
          <w:tcPr>
            <w:tcW w:w="1260" w:type="dxa"/>
            <w:vAlign w:val="center"/>
          </w:tcPr>
          <w:p w14:paraId="4D55064F" w14:textId="77777777" w:rsidR="00934BD0" w:rsidRPr="007C266E" w:rsidRDefault="00934BD0" w:rsidP="00A86877">
            <w:pPr>
              <w:jc w:val="both"/>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 xml:space="preserve">        7.729 </w:t>
            </w:r>
          </w:p>
        </w:tc>
      </w:tr>
      <w:tr w:rsidR="00934BD0" w:rsidRPr="007C266E" w14:paraId="723F1DE8" w14:textId="77777777" w:rsidTr="00D10EFB">
        <w:trPr>
          <w:tblHeader/>
        </w:trPr>
        <w:tc>
          <w:tcPr>
            <w:tcW w:w="1309" w:type="dxa"/>
            <w:vAlign w:val="center"/>
          </w:tcPr>
          <w:p w14:paraId="14CAE169" w14:textId="77777777" w:rsidR="00934BD0" w:rsidRPr="007C266E" w:rsidRDefault="00934BD0" w:rsidP="006E1D2D">
            <w:pPr>
              <w:jc w:val="both"/>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Rezidențial</w:t>
            </w:r>
          </w:p>
        </w:tc>
        <w:tc>
          <w:tcPr>
            <w:tcW w:w="1440" w:type="dxa"/>
            <w:vAlign w:val="center"/>
          </w:tcPr>
          <w:p w14:paraId="46363982" w14:textId="77777777" w:rsidR="00934BD0" w:rsidRPr="007C266E" w:rsidRDefault="00934BD0" w:rsidP="00A86877">
            <w:pPr>
              <w:jc w:val="both"/>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 xml:space="preserve">        7.663 </w:t>
            </w:r>
          </w:p>
        </w:tc>
        <w:tc>
          <w:tcPr>
            <w:tcW w:w="1260" w:type="dxa"/>
            <w:vAlign w:val="center"/>
          </w:tcPr>
          <w:p w14:paraId="29490B31" w14:textId="77777777" w:rsidR="00934BD0" w:rsidRPr="007C266E" w:rsidRDefault="00934BD0" w:rsidP="00A86877">
            <w:pPr>
              <w:jc w:val="both"/>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 xml:space="preserve">        7.197 </w:t>
            </w:r>
          </w:p>
        </w:tc>
      </w:tr>
      <w:tr w:rsidR="00934BD0" w:rsidRPr="007C266E" w14:paraId="1FED8E4A" w14:textId="77777777" w:rsidTr="00D10EFB">
        <w:trPr>
          <w:tblHeader/>
        </w:trPr>
        <w:tc>
          <w:tcPr>
            <w:tcW w:w="1309" w:type="dxa"/>
            <w:vAlign w:val="center"/>
          </w:tcPr>
          <w:p w14:paraId="7A6B3594" w14:textId="77777777" w:rsidR="00934BD0" w:rsidRPr="007C266E" w:rsidRDefault="00934BD0" w:rsidP="006E1D2D">
            <w:pPr>
              <w:jc w:val="both"/>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 xml:space="preserve">Transport </w:t>
            </w:r>
          </w:p>
        </w:tc>
        <w:tc>
          <w:tcPr>
            <w:tcW w:w="1440" w:type="dxa"/>
            <w:vAlign w:val="center"/>
          </w:tcPr>
          <w:p w14:paraId="7DF368F8" w14:textId="77777777" w:rsidR="00934BD0" w:rsidRPr="007C266E" w:rsidRDefault="00934BD0" w:rsidP="00A86877">
            <w:pPr>
              <w:jc w:val="both"/>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 xml:space="preserve">        6.800 </w:t>
            </w:r>
          </w:p>
        </w:tc>
        <w:tc>
          <w:tcPr>
            <w:tcW w:w="1260" w:type="dxa"/>
            <w:vAlign w:val="center"/>
          </w:tcPr>
          <w:p w14:paraId="7E0EFC2F" w14:textId="77777777" w:rsidR="00934BD0" w:rsidRPr="007C266E" w:rsidRDefault="00934BD0" w:rsidP="00A86877">
            <w:pPr>
              <w:jc w:val="both"/>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 xml:space="preserve">        7.722 </w:t>
            </w:r>
          </w:p>
        </w:tc>
      </w:tr>
      <w:tr w:rsidR="00934BD0" w:rsidRPr="007C266E" w14:paraId="65777C53" w14:textId="77777777" w:rsidTr="00D10EFB">
        <w:trPr>
          <w:tblHeader/>
        </w:trPr>
        <w:tc>
          <w:tcPr>
            <w:tcW w:w="1309" w:type="dxa"/>
            <w:vAlign w:val="center"/>
          </w:tcPr>
          <w:p w14:paraId="7778600E" w14:textId="77777777" w:rsidR="00934BD0" w:rsidRPr="007C266E" w:rsidRDefault="00934BD0" w:rsidP="006E1D2D">
            <w:pPr>
              <w:jc w:val="both"/>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Terțiar</w:t>
            </w:r>
          </w:p>
        </w:tc>
        <w:tc>
          <w:tcPr>
            <w:tcW w:w="1440" w:type="dxa"/>
            <w:vAlign w:val="center"/>
          </w:tcPr>
          <w:p w14:paraId="6009FB9C" w14:textId="77777777" w:rsidR="00934BD0" w:rsidRPr="007C266E" w:rsidRDefault="00934BD0" w:rsidP="00A86877">
            <w:pPr>
              <w:jc w:val="both"/>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 xml:space="preserve">        3.489 </w:t>
            </w:r>
          </w:p>
        </w:tc>
        <w:tc>
          <w:tcPr>
            <w:tcW w:w="1260" w:type="dxa"/>
            <w:vAlign w:val="center"/>
          </w:tcPr>
          <w:p w14:paraId="7A0679B1" w14:textId="77777777" w:rsidR="00934BD0" w:rsidRPr="007C266E" w:rsidRDefault="00934BD0" w:rsidP="00A86877">
            <w:pPr>
              <w:jc w:val="both"/>
              <w:rPr>
                <w:rFonts w:ascii="Times New Roman" w:hAnsi="Times New Roman" w:cs="Times New Roman"/>
                <w:sz w:val="23"/>
                <w:szCs w:val="23"/>
                <w:lang w:val="ro-RO"/>
              </w:rPr>
            </w:pPr>
            <w:r w:rsidRPr="007C266E">
              <w:rPr>
                <w:rFonts w:ascii="Times New Roman" w:hAnsi="Times New Roman" w:cs="Times New Roman"/>
                <w:color w:val="000000"/>
                <w:sz w:val="23"/>
                <w:szCs w:val="23"/>
                <w:lang w:val="ro-RO"/>
              </w:rPr>
              <w:t xml:space="preserve">        3.070 </w:t>
            </w:r>
          </w:p>
        </w:tc>
      </w:tr>
      <w:tr w:rsidR="00934BD0" w:rsidRPr="007C266E" w14:paraId="21B2EB7B" w14:textId="77777777" w:rsidTr="00D10EFB">
        <w:trPr>
          <w:trHeight w:val="54"/>
          <w:tblHeader/>
        </w:trPr>
        <w:tc>
          <w:tcPr>
            <w:tcW w:w="1309" w:type="dxa"/>
            <w:vAlign w:val="center"/>
          </w:tcPr>
          <w:p w14:paraId="33E97443" w14:textId="77777777" w:rsidR="00934BD0" w:rsidRPr="007C266E" w:rsidRDefault="00934BD0" w:rsidP="006E1D2D">
            <w:pPr>
              <w:jc w:val="both"/>
              <w:rPr>
                <w:rFonts w:ascii="Times New Roman" w:hAnsi="Times New Roman" w:cs="Times New Roman"/>
                <w:b/>
                <w:color w:val="000000"/>
                <w:sz w:val="23"/>
                <w:szCs w:val="23"/>
                <w:lang w:val="ro-RO"/>
              </w:rPr>
            </w:pPr>
            <w:r w:rsidRPr="007C266E">
              <w:rPr>
                <w:rFonts w:ascii="Times New Roman" w:hAnsi="Times New Roman" w:cs="Times New Roman"/>
                <w:b/>
                <w:color w:val="000000"/>
                <w:sz w:val="23"/>
                <w:szCs w:val="23"/>
                <w:lang w:val="ro-RO"/>
              </w:rPr>
              <w:t>Total</w:t>
            </w:r>
          </w:p>
        </w:tc>
        <w:tc>
          <w:tcPr>
            <w:tcW w:w="1440" w:type="dxa"/>
            <w:vAlign w:val="center"/>
          </w:tcPr>
          <w:p w14:paraId="1E1E0EB3" w14:textId="77777777" w:rsidR="00934BD0" w:rsidRPr="007C266E" w:rsidRDefault="00934BD0" w:rsidP="00A86877">
            <w:pPr>
              <w:jc w:val="both"/>
              <w:rPr>
                <w:rFonts w:ascii="Times New Roman" w:hAnsi="Times New Roman" w:cs="Times New Roman"/>
                <w:color w:val="000000"/>
                <w:sz w:val="23"/>
                <w:szCs w:val="23"/>
                <w:lang w:val="ro-RO"/>
              </w:rPr>
            </w:pPr>
            <w:r w:rsidRPr="007C266E">
              <w:rPr>
                <w:rFonts w:ascii="Times New Roman" w:hAnsi="Times New Roman" w:cs="Times New Roman"/>
                <w:b/>
                <w:bCs/>
                <w:sz w:val="23"/>
                <w:szCs w:val="23"/>
                <w:lang w:val="ro-RO"/>
              </w:rPr>
              <w:t xml:space="preserve">      24.733 </w:t>
            </w:r>
          </w:p>
        </w:tc>
        <w:tc>
          <w:tcPr>
            <w:tcW w:w="1260" w:type="dxa"/>
            <w:vAlign w:val="center"/>
          </w:tcPr>
          <w:p w14:paraId="0226B323" w14:textId="77777777" w:rsidR="00934BD0" w:rsidRPr="007C266E" w:rsidRDefault="00934BD0" w:rsidP="00A86877">
            <w:pPr>
              <w:jc w:val="both"/>
              <w:rPr>
                <w:rFonts w:ascii="Times New Roman" w:hAnsi="Times New Roman" w:cs="Times New Roman"/>
                <w:color w:val="000000"/>
                <w:sz w:val="23"/>
                <w:szCs w:val="23"/>
                <w:lang w:val="ro-RO"/>
              </w:rPr>
            </w:pPr>
            <w:r w:rsidRPr="007C266E">
              <w:rPr>
                <w:rFonts w:ascii="Times New Roman" w:hAnsi="Times New Roman" w:cs="Times New Roman"/>
                <w:b/>
                <w:bCs/>
                <w:sz w:val="23"/>
                <w:szCs w:val="23"/>
                <w:lang w:val="ro-RO"/>
              </w:rPr>
              <w:t xml:space="preserve">      25.716 </w:t>
            </w:r>
          </w:p>
        </w:tc>
      </w:tr>
    </w:tbl>
    <w:p w14:paraId="68009624" w14:textId="77777777" w:rsidR="00934BD0" w:rsidRPr="007C266E" w:rsidRDefault="008446E1" w:rsidP="006E1D2D">
      <w:pPr>
        <w:pStyle w:val="Caption"/>
        <w:jc w:val="both"/>
        <w:rPr>
          <w:rFonts w:ascii="Times New Roman" w:hAnsi="Times New Roman" w:cs="Times New Roman"/>
          <w:color w:val="auto"/>
          <w:sz w:val="23"/>
          <w:szCs w:val="23"/>
          <w:lang w:val="ro-RO"/>
        </w:rPr>
      </w:pPr>
      <w:r w:rsidRPr="007C266E">
        <w:rPr>
          <w:rFonts w:ascii="Times New Roman" w:hAnsi="Times New Roman" w:cs="Times New Roman"/>
          <w:color w:val="auto"/>
          <w:sz w:val="23"/>
          <w:szCs w:val="23"/>
          <w:lang w:val="ro-RO"/>
        </w:rPr>
        <w:t>Sursă: Ministerul Economiei, Energiei și Mediului de Afaceri</w:t>
      </w:r>
      <w:r w:rsidR="005D29AF" w:rsidRPr="007C266E">
        <w:rPr>
          <w:rFonts w:ascii="Times New Roman" w:hAnsi="Times New Roman" w:cs="Times New Roman"/>
          <w:color w:val="auto"/>
          <w:sz w:val="23"/>
          <w:szCs w:val="23"/>
          <w:lang w:val="ro-RO"/>
        </w:rPr>
        <w:t xml:space="preserve"> </w:t>
      </w:r>
    </w:p>
    <w:p w14:paraId="798CC65B" w14:textId="77777777" w:rsidR="000B627C" w:rsidRDefault="000B627C" w:rsidP="004B4A53">
      <w:pPr>
        <w:spacing w:line="240" w:lineRule="auto"/>
        <w:jc w:val="both"/>
        <w:rPr>
          <w:rFonts w:ascii="Times New Roman" w:eastAsia="Verdana" w:hAnsi="Times New Roman" w:cs="Times New Roman"/>
          <w:sz w:val="23"/>
          <w:szCs w:val="23"/>
          <w:lang w:val="ro-RO"/>
        </w:rPr>
      </w:pPr>
      <w:r w:rsidRPr="007C266E">
        <w:rPr>
          <w:rFonts w:ascii="Times New Roman" w:eastAsia="Verdana" w:hAnsi="Times New Roman" w:cs="Times New Roman"/>
          <w:sz w:val="23"/>
          <w:szCs w:val="23"/>
          <w:lang w:val="ro-RO"/>
        </w:rPr>
        <w:t>Având în vedere ipotezele și proiecțiile de calcul utilizate, care iau în considerare creșterea producției industriale și a nivelului de trai – reflectat în creșterea consumului de energie, consumul primar de energie este preconizat să atingă 32,3 Mtep în 2030, față de un nivel de 32,1 Mtep în 2020.</w:t>
      </w:r>
    </w:p>
    <w:p w14:paraId="103F3F96" w14:textId="77777777" w:rsidR="007100C7" w:rsidRDefault="007100C7" w:rsidP="004B4A53">
      <w:pPr>
        <w:spacing w:line="240" w:lineRule="auto"/>
        <w:jc w:val="both"/>
        <w:rPr>
          <w:rFonts w:ascii="Times New Roman" w:eastAsia="Verdana" w:hAnsi="Times New Roman" w:cs="Times New Roman"/>
          <w:sz w:val="23"/>
          <w:szCs w:val="23"/>
          <w:lang w:val="ro-RO"/>
        </w:rPr>
      </w:pPr>
    </w:p>
    <w:p w14:paraId="65772A85" w14:textId="77777777" w:rsidR="007100C7" w:rsidRDefault="007100C7" w:rsidP="004B4A53">
      <w:pPr>
        <w:spacing w:line="240" w:lineRule="auto"/>
        <w:jc w:val="both"/>
        <w:rPr>
          <w:rFonts w:ascii="Times New Roman" w:eastAsia="Verdana" w:hAnsi="Times New Roman" w:cs="Times New Roman"/>
          <w:sz w:val="23"/>
          <w:szCs w:val="23"/>
          <w:lang w:val="ro-RO"/>
        </w:rPr>
      </w:pPr>
    </w:p>
    <w:p w14:paraId="27A70B2B" w14:textId="77777777" w:rsidR="007100C7" w:rsidRDefault="007100C7" w:rsidP="004B4A53">
      <w:pPr>
        <w:spacing w:line="240" w:lineRule="auto"/>
        <w:jc w:val="both"/>
        <w:rPr>
          <w:rFonts w:ascii="Times New Roman" w:eastAsia="Verdana" w:hAnsi="Times New Roman" w:cs="Times New Roman"/>
          <w:sz w:val="23"/>
          <w:szCs w:val="23"/>
          <w:lang w:val="ro-RO"/>
        </w:rPr>
      </w:pPr>
    </w:p>
    <w:p w14:paraId="4E64407E" w14:textId="77777777" w:rsidR="007100C7" w:rsidRDefault="007100C7" w:rsidP="004B4A53">
      <w:pPr>
        <w:spacing w:line="240" w:lineRule="auto"/>
        <w:jc w:val="both"/>
        <w:rPr>
          <w:rFonts w:ascii="Times New Roman" w:eastAsia="Verdana" w:hAnsi="Times New Roman" w:cs="Times New Roman"/>
          <w:sz w:val="23"/>
          <w:szCs w:val="23"/>
          <w:lang w:val="ro-RO"/>
        </w:rPr>
      </w:pPr>
    </w:p>
    <w:p w14:paraId="770B13BD" w14:textId="77777777" w:rsidR="007100C7" w:rsidRPr="007C266E" w:rsidRDefault="007100C7" w:rsidP="004B4A53">
      <w:pPr>
        <w:spacing w:line="240" w:lineRule="auto"/>
        <w:jc w:val="both"/>
        <w:rPr>
          <w:rFonts w:ascii="Times New Roman" w:eastAsia="Verdana" w:hAnsi="Times New Roman" w:cs="Times New Roman"/>
          <w:sz w:val="23"/>
          <w:szCs w:val="23"/>
          <w:lang w:val="ro-RO"/>
        </w:rPr>
      </w:pPr>
    </w:p>
    <w:p w14:paraId="28A284C0" w14:textId="77777777" w:rsidR="000B627C" w:rsidRPr="007C266E" w:rsidRDefault="000B627C" w:rsidP="006E1D2D">
      <w:pPr>
        <w:pStyle w:val="Caption"/>
        <w:jc w:val="both"/>
        <w:rPr>
          <w:rFonts w:ascii="Times New Roman" w:hAnsi="Times New Roman" w:cs="Times New Roman"/>
          <w:sz w:val="23"/>
          <w:szCs w:val="23"/>
          <w:lang w:val="ro-RO"/>
        </w:rPr>
      </w:pPr>
      <w:bookmarkStart w:id="52" w:name="_Toc29223814"/>
      <w:bookmarkStart w:id="53" w:name="_Toc29228008"/>
      <w:bookmarkStart w:id="54" w:name="_Toc29499794"/>
      <w:bookmarkStart w:id="55" w:name="_Toc29979395"/>
      <w:bookmarkStart w:id="56" w:name="_Toc29990686"/>
      <w:bookmarkStart w:id="57" w:name="_Toc36050734"/>
      <w:r w:rsidRPr="007C266E">
        <w:rPr>
          <w:rFonts w:ascii="Times New Roman" w:hAnsi="Times New Roman" w:cs="Times New Roman"/>
          <w:sz w:val="23"/>
          <w:szCs w:val="23"/>
          <w:lang w:val="ro-RO"/>
        </w:rPr>
        <w:lastRenderedPageBreak/>
        <w:t>Consum de energie primară și finală la nivelul anului 2030 [Mtep]</w:t>
      </w:r>
      <w:bookmarkEnd w:id="52"/>
      <w:bookmarkEnd w:id="53"/>
      <w:bookmarkEnd w:id="54"/>
      <w:bookmarkEnd w:id="55"/>
      <w:bookmarkEnd w:id="56"/>
      <w:bookmarkEnd w:id="57"/>
    </w:p>
    <w:p w14:paraId="7DCB7E9B" w14:textId="77777777" w:rsidR="000B627C" w:rsidRPr="007C266E" w:rsidRDefault="000B627C" w:rsidP="004B4A53">
      <w:pPr>
        <w:spacing w:after="0" w:line="240" w:lineRule="auto"/>
        <w:jc w:val="both"/>
        <w:rPr>
          <w:rFonts w:ascii="Times New Roman" w:eastAsia="Verdana" w:hAnsi="Times New Roman" w:cs="Times New Roman"/>
          <w:sz w:val="23"/>
          <w:szCs w:val="23"/>
          <w:lang w:val="ro-RO"/>
        </w:rPr>
      </w:pPr>
      <w:r w:rsidRPr="007C266E">
        <w:rPr>
          <w:rFonts w:ascii="Times New Roman" w:eastAsia="Verdana" w:hAnsi="Times New Roman" w:cs="Times New Roman"/>
          <w:noProof/>
          <w:sz w:val="23"/>
          <w:szCs w:val="23"/>
        </w:rPr>
        <w:drawing>
          <wp:inline distT="0" distB="0" distL="0" distR="0" wp14:anchorId="6F353526" wp14:editId="6744E3B8">
            <wp:extent cx="2770414" cy="1954973"/>
            <wp:effectExtent l="0" t="0" r="0" b="762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72527" cy="1956464"/>
                    </a:xfrm>
                    <a:prstGeom prst="rect">
                      <a:avLst/>
                    </a:prstGeom>
                    <a:noFill/>
                  </pic:spPr>
                </pic:pic>
              </a:graphicData>
            </a:graphic>
          </wp:inline>
        </w:drawing>
      </w:r>
    </w:p>
    <w:p w14:paraId="66D22A16" w14:textId="77777777" w:rsidR="00756D0A" w:rsidRPr="007C266E" w:rsidRDefault="00756D0A" w:rsidP="00756D0A">
      <w:pPr>
        <w:spacing w:line="240" w:lineRule="auto"/>
        <w:rPr>
          <w:rFonts w:ascii="Times New Roman" w:hAnsi="Times New Roman" w:cs="Times New Roman"/>
          <w:i/>
          <w:sz w:val="23"/>
          <w:szCs w:val="23"/>
          <w:lang w:val="ro-RO"/>
        </w:rPr>
      </w:pPr>
      <w:r w:rsidRPr="007C266E">
        <w:rPr>
          <w:rFonts w:ascii="Times New Roman" w:hAnsi="Times New Roman" w:cs="Times New Roman"/>
          <w:i/>
          <w:sz w:val="23"/>
          <w:szCs w:val="23"/>
          <w:lang w:val="ro-RO"/>
        </w:rPr>
        <w:t>Sursă: Calcule Deloitte pe baza informațiilor transmise de Grupul de lucru interinstituțional PNIESC și a recomandărilor COM</w:t>
      </w:r>
      <w:r w:rsidRPr="007C266E" w:rsidDel="00077BC6">
        <w:rPr>
          <w:rFonts w:ascii="Times New Roman" w:hAnsi="Times New Roman" w:cs="Times New Roman"/>
          <w:i/>
          <w:sz w:val="23"/>
          <w:szCs w:val="23"/>
          <w:lang w:val="ro-RO"/>
        </w:rPr>
        <w:t xml:space="preserve"> </w:t>
      </w:r>
    </w:p>
    <w:p w14:paraId="5A471832" w14:textId="77777777" w:rsidR="006008CA" w:rsidRPr="007C266E" w:rsidRDefault="006008CA"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Traiectoriile consumului primar, cât și al celui final de energie indică o reducere mai lentă în perioada 2020 – 2025, înregistrând scăderi de 2,4% în cazul consumului primar, respectiv de 2,9% în cazul consumului final. </w:t>
      </w:r>
    </w:p>
    <w:p w14:paraId="74781C84" w14:textId="77777777" w:rsidR="000B627C" w:rsidRPr="007C266E" w:rsidRDefault="000B627C" w:rsidP="004B4A53">
      <w:pPr>
        <w:spacing w:before="120" w:after="12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Politicile și măsurile pe care România își propune să le adopte pentru realizarea țintelor de consum au o sferă largă de aplicare și necesită, după caz, o perioadă mai lungă de confirmare a efectelor generate. Din acest motiv, majoritatea efectelor consistente în sensul reducerii consumului de energie, se vor resimți începând cu anul 2025, când tendința reducerilor este în creștere, fiind influențată de efectele investițiilor realizate în perioada 2020 – 2025. Astfel, traiectoria indică o creștere a economiilor de la 38,4% în 2025 la 45,1% în 2030 pentru consumul primar, respectiv de la 34,0% la 40,4% pentru consumul final în aceeași perioadă, în raport cu scenariul de referință PRIMES 2007.</w:t>
      </w:r>
    </w:p>
    <w:p w14:paraId="27A57A6A" w14:textId="77777777" w:rsidR="00756D0A" w:rsidRDefault="00756D0A" w:rsidP="006E1D2D">
      <w:pPr>
        <w:pStyle w:val="Caption"/>
        <w:jc w:val="both"/>
        <w:rPr>
          <w:rFonts w:ascii="Times New Roman" w:hAnsi="Times New Roman" w:cs="Times New Roman"/>
          <w:sz w:val="23"/>
          <w:szCs w:val="23"/>
          <w:lang w:val="ro-RO"/>
        </w:rPr>
      </w:pPr>
    </w:p>
    <w:p w14:paraId="125607FB" w14:textId="77777777" w:rsidR="00756D0A" w:rsidRDefault="00756D0A" w:rsidP="006E1D2D">
      <w:pPr>
        <w:pStyle w:val="Caption"/>
        <w:jc w:val="both"/>
        <w:rPr>
          <w:rFonts w:ascii="Times New Roman" w:hAnsi="Times New Roman" w:cs="Times New Roman"/>
          <w:sz w:val="23"/>
          <w:szCs w:val="23"/>
          <w:lang w:val="ro-RO"/>
        </w:rPr>
      </w:pPr>
    </w:p>
    <w:p w14:paraId="097CE900" w14:textId="77777777" w:rsidR="00756D0A" w:rsidRDefault="00756D0A" w:rsidP="006E1D2D">
      <w:pPr>
        <w:pStyle w:val="Caption"/>
        <w:jc w:val="both"/>
        <w:rPr>
          <w:rFonts w:ascii="Times New Roman" w:hAnsi="Times New Roman" w:cs="Times New Roman"/>
          <w:sz w:val="23"/>
          <w:szCs w:val="23"/>
          <w:lang w:val="ro-RO"/>
        </w:rPr>
      </w:pPr>
    </w:p>
    <w:p w14:paraId="18035D0D" w14:textId="77777777" w:rsidR="00756D0A" w:rsidRDefault="00756D0A" w:rsidP="006E1D2D">
      <w:pPr>
        <w:pStyle w:val="Caption"/>
        <w:jc w:val="both"/>
        <w:rPr>
          <w:rFonts w:ascii="Times New Roman" w:hAnsi="Times New Roman" w:cs="Times New Roman"/>
          <w:sz w:val="23"/>
          <w:szCs w:val="23"/>
          <w:lang w:val="ro-RO"/>
        </w:rPr>
      </w:pPr>
    </w:p>
    <w:p w14:paraId="64DA7362" w14:textId="77777777" w:rsidR="000B627C" w:rsidRPr="007C266E" w:rsidRDefault="000B627C" w:rsidP="006E1D2D">
      <w:pPr>
        <w:pStyle w:val="Caption"/>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Traiectorie orientativă privind contribuția României la obiectivele Uniunii Europene de eficiență energetică [%]</w:t>
      </w:r>
    </w:p>
    <w:p w14:paraId="2B896D97" w14:textId="77777777" w:rsidR="0018686E" w:rsidRPr="007C266E" w:rsidRDefault="000B627C" w:rsidP="004B4A53">
      <w:pPr>
        <w:spacing w:line="240" w:lineRule="auto"/>
        <w:jc w:val="both"/>
        <w:rPr>
          <w:rFonts w:ascii="Times New Roman" w:hAnsi="Times New Roman" w:cs="Times New Roman"/>
          <w:color w:val="000000" w:themeColor="text1"/>
          <w:sz w:val="23"/>
          <w:szCs w:val="23"/>
          <w:lang w:val="ro-RO"/>
        </w:rPr>
      </w:pPr>
      <w:r w:rsidRPr="007C266E">
        <w:rPr>
          <w:rFonts w:ascii="Times New Roman" w:eastAsia="Verdana" w:hAnsi="Times New Roman" w:cs="Times New Roman"/>
          <w:noProof/>
          <w:sz w:val="23"/>
          <w:szCs w:val="23"/>
        </w:rPr>
        <w:drawing>
          <wp:inline distT="0" distB="0" distL="0" distR="0" wp14:anchorId="58E0FFDB" wp14:editId="4AC4519F">
            <wp:extent cx="2743200" cy="111077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43200" cy="1110776"/>
                    </a:xfrm>
                    <a:prstGeom prst="rect">
                      <a:avLst/>
                    </a:prstGeom>
                    <a:noFill/>
                  </pic:spPr>
                </pic:pic>
              </a:graphicData>
            </a:graphic>
          </wp:inline>
        </w:drawing>
      </w:r>
    </w:p>
    <w:p w14:paraId="54156A1A" w14:textId="77777777" w:rsidR="00756D0A" w:rsidRPr="007C266E" w:rsidRDefault="00756D0A" w:rsidP="00756D0A">
      <w:pPr>
        <w:spacing w:line="240" w:lineRule="auto"/>
        <w:rPr>
          <w:rFonts w:ascii="Times New Roman" w:hAnsi="Times New Roman" w:cs="Times New Roman"/>
          <w:i/>
          <w:sz w:val="23"/>
          <w:szCs w:val="23"/>
          <w:lang w:val="ro-RO"/>
        </w:rPr>
      </w:pPr>
      <w:r w:rsidRPr="007C266E">
        <w:rPr>
          <w:rFonts w:ascii="Times New Roman" w:hAnsi="Times New Roman" w:cs="Times New Roman"/>
          <w:i/>
          <w:sz w:val="23"/>
          <w:szCs w:val="23"/>
          <w:lang w:val="ro-RO"/>
        </w:rPr>
        <w:t>Sursă: Calcule Deloitte pe baza informațiilor transmise de Grupul de lucru interinstituțional PNIESC și a recomandărilor COM</w:t>
      </w:r>
      <w:r w:rsidRPr="007C266E" w:rsidDel="00077BC6">
        <w:rPr>
          <w:rFonts w:ascii="Times New Roman" w:hAnsi="Times New Roman" w:cs="Times New Roman"/>
          <w:i/>
          <w:sz w:val="23"/>
          <w:szCs w:val="23"/>
          <w:lang w:val="ro-RO"/>
        </w:rPr>
        <w:t xml:space="preserve"> </w:t>
      </w:r>
    </w:p>
    <w:p w14:paraId="523DFE6A" w14:textId="37B71D1A" w:rsidR="006008CA" w:rsidRPr="007C266E" w:rsidRDefault="006008CA" w:rsidP="004B4A53">
      <w:pPr>
        <w:spacing w:line="240" w:lineRule="auto"/>
        <w:jc w:val="both"/>
        <w:rPr>
          <w:rFonts w:ascii="Times New Roman" w:hAnsi="Times New Roman" w:cs="Times New Roman"/>
          <w:color w:val="000000" w:themeColor="text1"/>
          <w:sz w:val="23"/>
          <w:szCs w:val="23"/>
          <w:lang w:val="ro-RO"/>
        </w:rPr>
      </w:pPr>
      <w:r w:rsidRPr="007C266E">
        <w:rPr>
          <w:rFonts w:ascii="Times New Roman" w:hAnsi="Times New Roman" w:cs="Times New Roman"/>
          <w:color w:val="000000" w:themeColor="text1"/>
          <w:sz w:val="23"/>
          <w:szCs w:val="23"/>
          <w:lang w:val="ro-RO"/>
        </w:rPr>
        <w:t xml:space="preserve">Potențialul de creștere a eficienței energetice este în </w:t>
      </w:r>
      <w:r w:rsidR="00714502">
        <w:rPr>
          <w:rFonts w:ascii="Times New Roman" w:hAnsi="Times New Roman" w:cs="Times New Roman"/>
          <w:color w:val="000000" w:themeColor="text1"/>
          <w:sz w:val="23"/>
          <w:szCs w:val="23"/>
          <w:lang w:val="ro-RO"/>
        </w:rPr>
        <w:t xml:space="preserve">sectorul energetic urmat de cel </w:t>
      </w:r>
      <w:r w:rsidRPr="007C266E">
        <w:rPr>
          <w:rFonts w:ascii="Times New Roman" w:hAnsi="Times New Roman" w:cs="Times New Roman"/>
          <w:color w:val="000000" w:themeColor="text1"/>
          <w:sz w:val="23"/>
          <w:szCs w:val="23"/>
          <w:lang w:val="ro-RO"/>
        </w:rPr>
        <w:t xml:space="preserve"> rezidențial, Proiectul Strategiei de Renovare pe Termen Lung (SRTL) propune măsurile de îmbunătățire a eficienței energetice, reducere a emisiilor de gaze cu efect de seră, precum și cele de creștere a ponderii energiei din surse regenerabile în consumul total de energie prin renovarea stocului național de clădiri. Într-un consum final estimat pentru anul 2019 de 22,86 Mtep, stocul național de clădiri are o pondere de 41,64%, având un consum estimat de 9,52 Mtep. </w:t>
      </w:r>
    </w:p>
    <w:p w14:paraId="2F560A11" w14:textId="77777777" w:rsidR="006008CA" w:rsidRPr="007C266E" w:rsidRDefault="006008CA"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Referitor la măsurile necesare în cadrul altor sectoare, se urmărește continuarea acțiunilor prevăzute în PNAEE IV - în special în domeniul industriei și transporturilor, sectoarele cu cea mai mare pondere în consumul final de energie după cel rezidențial. Astfel, prin conformarea la obligațiile (referitoare la măsurile derivate din auditurile energetice și/sau din bunele practici în managementul energetic) prevăzute în Legea nr. 121/2014 privind eficiența energetică, corelată și cu programe și măsuri de stimulare a investițiilor în domeniu (inclusiv prin scheme de sprijin existente/fonduri europene nerambursabile în perioada 2021 - 2027), sectorul industrial va trebui să atingă un ritm anual de economii de cca. 0,6 Mtep în perioada 2021 - 2030 (conform PNAEE IV, economiile de energie estimate pentru sectorul industrial în anul 2020 se ridică la 0,3 Mtep).  </w:t>
      </w:r>
    </w:p>
    <w:p w14:paraId="12CCF4B0" w14:textId="77777777" w:rsidR="006008CA" w:rsidRPr="007C266E" w:rsidRDefault="006008CA"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Similar, în domeniul transporturilor sunt necesare economii anuale noi de aproximativ 0,6 Mtep în perioada 2021 - 2030, în condițiile în care estimările PNAEE IV indică economii potențiale în sector de 0,4 Mtep la nivelul anului 2020, bazate majoritar pe reînnoirea parcului de mașini (automobile și autovehicule de marfă) – respectiv 0,2 Mtep. Pentru atingerea obiectivelor anuale vor fi necesare măsuri susținute în modernizarea transportului public urban și a celui feroviar. Nu în ultimul rând, încurajarea mobilității alternative (estimată a aduce economii de energie de 0,16 Mtep numai în 2020) poate contribui semnificativ la reducerea consumului de energie finală în transporturi.</w:t>
      </w:r>
    </w:p>
    <w:p w14:paraId="5BD3B47D" w14:textId="77777777" w:rsidR="00C43C61" w:rsidRPr="007C266E" w:rsidRDefault="00C43C61" w:rsidP="004B4A53">
      <w:pPr>
        <w:pStyle w:val="Heading2"/>
        <w:spacing w:line="240" w:lineRule="auto"/>
        <w:rPr>
          <w:rFonts w:ascii="Times New Roman" w:hAnsi="Times New Roman" w:cs="Times New Roman"/>
          <w:sz w:val="23"/>
          <w:szCs w:val="23"/>
          <w:lang w:val="ro-RO"/>
        </w:rPr>
      </w:pPr>
      <w:bookmarkStart w:id="58" w:name="_Toc44400881"/>
      <w:r w:rsidRPr="007C266E">
        <w:rPr>
          <w:rFonts w:ascii="Times New Roman" w:hAnsi="Times New Roman" w:cs="Times New Roman"/>
          <w:sz w:val="23"/>
          <w:szCs w:val="23"/>
          <w:lang w:val="ro-RO"/>
        </w:rPr>
        <w:t>VI.</w:t>
      </w:r>
      <w:r w:rsidR="00934BD0" w:rsidRPr="007C266E">
        <w:rPr>
          <w:rFonts w:ascii="Times New Roman" w:hAnsi="Times New Roman" w:cs="Times New Roman"/>
          <w:sz w:val="23"/>
          <w:szCs w:val="23"/>
          <w:lang w:val="ro-RO"/>
        </w:rPr>
        <w:t>3</w:t>
      </w:r>
      <w:r w:rsidRPr="007C266E">
        <w:rPr>
          <w:rFonts w:ascii="Times New Roman" w:hAnsi="Times New Roman" w:cs="Times New Roman"/>
          <w:sz w:val="23"/>
          <w:szCs w:val="23"/>
          <w:lang w:val="ro-RO"/>
        </w:rPr>
        <w:t>.</w:t>
      </w:r>
      <w:r w:rsidR="00934BD0" w:rsidRPr="007C266E">
        <w:rPr>
          <w:rFonts w:ascii="Times New Roman" w:hAnsi="Times New Roman" w:cs="Times New Roman"/>
          <w:sz w:val="23"/>
          <w:szCs w:val="23"/>
          <w:lang w:val="ro-RO"/>
        </w:rPr>
        <w:tab/>
        <w:t xml:space="preserve">Securitatea </w:t>
      </w:r>
      <w:r w:rsidR="008446E1" w:rsidRPr="007C266E">
        <w:rPr>
          <w:rFonts w:ascii="Times New Roman" w:hAnsi="Times New Roman" w:cs="Times New Roman"/>
          <w:sz w:val="23"/>
          <w:szCs w:val="23"/>
          <w:lang w:val="ro-RO"/>
        </w:rPr>
        <w:t>energetică</w:t>
      </w:r>
      <w:bookmarkEnd w:id="58"/>
    </w:p>
    <w:p w14:paraId="63C01439" w14:textId="77777777" w:rsidR="00934BD0" w:rsidRPr="007C266E" w:rsidRDefault="00934BD0" w:rsidP="006E1D2D">
      <w:pPr>
        <w:spacing w:after="0" w:line="240" w:lineRule="auto"/>
        <w:rPr>
          <w:rFonts w:ascii="Times New Roman" w:hAnsi="Times New Roman" w:cs="Times New Roman"/>
          <w:sz w:val="23"/>
          <w:szCs w:val="23"/>
          <w:lang w:val="ro-RO"/>
        </w:rPr>
      </w:pPr>
    </w:p>
    <w:p w14:paraId="5AD4AF5D" w14:textId="77777777" w:rsidR="008D0A93" w:rsidRPr="007C266E" w:rsidRDefault="008D0A93"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România consideră siguranța aprovizionării cu energie din surse interne un obiectiv primordial pentru asigurarea securității energetice naționale. România își propune menținerea unui mix energetic diversificat la orizontul anului 2030, ținând cont deopotrivă de obiectivul de decarbonare al sistemului energetic, precum și de asigurarea flexibilității și adecvanței acestuia. În acest sens, evoluția capacităților instalate în perioada 2020 – 2030 este prezentată în graficul de mai jos:</w:t>
      </w:r>
    </w:p>
    <w:p w14:paraId="2C5868C4" w14:textId="77777777" w:rsidR="008D0A93" w:rsidRPr="007C266E" w:rsidRDefault="008D0A93" w:rsidP="006E1D2D">
      <w:pPr>
        <w:pStyle w:val="Caption"/>
        <w:rPr>
          <w:rFonts w:ascii="Times New Roman" w:hAnsi="Times New Roman" w:cs="Times New Roman"/>
          <w:sz w:val="23"/>
          <w:szCs w:val="23"/>
          <w:lang w:val="ro-RO"/>
        </w:rPr>
      </w:pPr>
      <w:bookmarkStart w:id="59" w:name="_Toc29979397"/>
      <w:bookmarkStart w:id="60" w:name="_Toc29990688"/>
      <w:bookmarkStart w:id="61" w:name="_Toc36050736"/>
      <w:r w:rsidRPr="007C266E">
        <w:rPr>
          <w:rFonts w:ascii="Times New Roman" w:hAnsi="Times New Roman" w:cs="Times New Roman"/>
          <w:sz w:val="23"/>
          <w:szCs w:val="23"/>
          <w:lang w:val="ro-RO"/>
        </w:rPr>
        <w:t>Traiectoria orientativă a capacității nete instalate, pe surse, [MW]</w:t>
      </w:r>
      <w:bookmarkEnd w:id="59"/>
      <w:bookmarkEnd w:id="60"/>
      <w:bookmarkEnd w:id="61"/>
    </w:p>
    <w:p w14:paraId="56B7E2D8" w14:textId="77777777" w:rsidR="008D0A93" w:rsidRPr="007C266E" w:rsidRDefault="008D0A93" w:rsidP="00A86877">
      <w:pPr>
        <w:spacing w:after="0" w:line="240" w:lineRule="auto"/>
        <w:jc w:val="both"/>
        <w:rPr>
          <w:rFonts w:ascii="Times New Roman" w:hAnsi="Times New Roman" w:cs="Times New Roman"/>
          <w:sz w:val="23"/>
          <w:szCs w:val="23"/>
          <w:lang w:val="ro-RO"/>
        </w:rPr>
      </w:pPr>
    </w:p>
    <w:p w14:paraId="678668C9" w14:textId="77777777" w:rsidR="008D0A93" w:rsidRPr="007C266E" w:rsidRDefault="008D0A93"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i/>
          <w:noProof/>
          <w:sz w:val="23"/>
          <w:szCs w:val="23"/>
        </w:rPr>
        <w:drawing>
          <wp:inline distT="0" distB="0" distL="0" distR="0" wp14:anchorId="687C0B2A" wp14:editId="79C53241">
            <wp:extent cx="2743200" cy="10517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43200" cy="1051717"/>
                    </a:xfrm>
                    <a:prstGeom prst="rect">
                      <a:avLst/>
                    </a:prstGeom>
                    <a:noFill/>
                  </pic:spPr>
                </pic:pic>
              </a:graphicData>
            </a:graphic>
          </wp:inline>
        </w:drawing>
      </w:r>
    </w:p>
    <w:p w14:paraId="2A6ECB93" w14:textId="77777777" w:rsidR="0077657B" w:rsidRPr="007C266E" w:rsidRDefault="0077657B" w:rsidP="004B4A53">
      <w:pPr>
        <w:spacing w:line="240" w:lineRule="auto"/>
        <w:rPr>
          <w:rFonts w:ascii="Times New Roman" w:hAnsi="Times New Roman" w:cs="Times New Roman"/>
          <w:i/>
          <w:sz w:val="23"/>
          <w:szCs w:val="23"/>
          <w:lang w:val="ro-RO"/>
        </w:rPr>
      </w:pPr>
      <w:r w:rsidRPr="007C266E">
        <w:rPr>
          <w:rFonts w:ascii="Times New Roman" w:hAnsi="Times New Roman" w:cs="Times New Roman"/>
          <w:i/>
          <w:sz w:val="23"/>
          <w:szCs w:val="23"/>
          <w:lang w:val="ro-RO"/>
        </w:rPr>
        <w:t>Sursă: Calcule Deloitte pe baza informațiilor transmise de Grupul de lucru interinstituțional PNIESC și a recomandărilor COM</w:t>
      </w:r>
      <w:r w:rsidRPr="007C266E" w:rsidDel="00077BC6">
        <w:rPr>
          <w:rFonts w:ascii="Times New Roman" w:hAnsi="Times New Roman" w:cs="Times New Roman"/>
          <w:i/>
          <w:sz w:val="23"/>
          <w:szCs w:val="23"/>
          <w:lang w:val="ro-RO"/>
        </w:rPr>
        <w:t xml:space="preserve"> </w:t>
      </w:r>
    </w:p>
    <w:p w14:paraId="77849719" w14:textId="77777777" w:rsidR="0077657B" w:rsidRPr="007C266E" w:rsidRDefault="0077657B" w:rsidP="004B4A53">
      <w:pPr>
        <w:autoSpaceDE w:val="0"/>
        <w:autoSpaceDN w:val="0"/>
        <w:adjustRightInd w:val="0"/>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vederea asigurării consumului de energie, capacitatea instalată va crește cu aproximativ 35% în 2030 față de 2020, datorită instalării noilor capacități de energie eoliană (de 2.302 </w:t>
      </w:r>
      <w:r w:rsidRPr="007C266E">
        <w:rPr>
          <w:rFonts w:ascii="Times New Roman" w:hAnsi="Times New Roman" w:cs="Times New Roman"/>
          <w:sz w:val="23"/>
          <w:szCs w:val="23"/>
          <w:lang w:val="ro-RO"/>
        </w:rPr>
        <w:lastRenderedPageBreak/>
        <w:t>MW până în 2030) și solară (de 3.692 MW până în 2030), fapt care va determina o creștere a producției interne de energie, asigurând astfel un grad de independență energetică mai ridicat. Impactul pozitiv se poate vedea în special în reducerea dependenței de importuri din țări terțe, de la un nivel de 20,8% preconizat în 2020, la 17,8% în 2030, reprezentând unul dintre cele mai scăzute niveluri de dependență a importurilor de energie din Uniunea Europeană.</w:t>
      </w:r>
    </w:p>
    <w:p w14:paraId="34A58BF9" w14:textId="77777777" w:rsidR="0077657B" w:rsidRPr="007C266E" w:rsidRDefault="0077657B" w:rsidP="004B4A53">
      <w:pPr>
        <w:autoSpaceDE w:val="0"/>
        <w:autoSpaceDN w:val="0"/>
        <w:adjustRightInd w:val="0"/>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De asemenea, este preconizată înlocuirea mai multor grupuri pe cărbune cu unități în ciclu combinat alimentate cu gaze naturale și unități bazate pe surse regenerabile de energie, retehnologizarea unei unități nucleare, precum și construcția cel puțin </w:t>
      </w:r>
      <w:r w:rsidR="0087126E" w:rsidRPr="007C266E">
        <w:rPr>
          <w:rFonts w:ascii="Times New Roman" w:hAnsi="Times New Roman" w:cs="Times New Roman"/>
          <w:sz w:val="23"/>
          <w:szCs w:val="23"/>
          <w:lang w:val="ro-RO"/>
        </w:rPr>
        <w:t xml:space="preserve">a </w:t>
      </w:r>
      <w:r w:rsidRPr="007C266E">
        <w:rPr>
          <w:rFonts w:ascii="Times New Roman" w:hAnsi="Times New Roman" w:cs="Times New Roman"/>
          <w:sz w:val="23"/>
          <w:szCs w:val="23"/>
          <w:lang w:val="ro-RO"/>
        </w:rPr>
        <w:t>unei noi unități nucleare până în 2030.</w:t>
      </w:r>
    </w:p>
    <w:p w14:paraId="4DF7ACE4" w14:textId="77777777" w:rsidR="0077657B" w:rsidRPr="007C266E" w:rsidRDefault="0077657B" w:rsidP="002500F7">
      <w:pPr>
        <w:pStyle w:val="CommentText"/>
        <w:rPr>
          <w:rFonts w:ascii="Times New Roman" w:hAnsi="Times New Roman" w:cs="Times New Roman"/>
          <w:sz w:val="23"/>
          <w:szCs w:val="23"/>
        </w:rPr>
      </w:pPr>
      <w:r w:rsidRPr="007C266E">
        <w:rPr>
          <w:rFonts w:ascii="Times New Roman" w:hAnsi="Times New Roman" w:cs="Times New Roman"/>
          <w:sz w:val="23"/>
          <w:szCs w:val="23"/>
        </w:rPr>
        <w:t xml:space="preserve">În ceea ce privește </w:t>
      </w:r>
      <w:r w:rsidR="00CD4CCD" w:rsidRPr="007C266E">
        <w:rPr>
          <w:rFonts w:ascii="Times New Roman" w:hAnsi="Times New Roman" w:cs="Times New Roman"/>
          <w:sz w:val="23"/>
          <w:szCs w:val="23"/>
        </w:rPr>
        <w:t xml:space="preserve">piața de gaze naturale, România este avantajată de poziția favorabilă față de capacitățile de transport în regiune şi de posibilitatea de interconectare a SNT cu sistemele de transport central europene și cu resursele de gaze din Bazinul Caspic, din estul Mării Mediterane și din Orientul Mijlociu, prin Coridorul Sudic. Pentru </w:t>
      </w:r>
      <w:r w:rsidRPr="007C266E">
        <w:rPr>
          <w:rFonts w:ascii="Times New Roman" w:hAnsi="Times New Roman" w:cs="Times New Roman"/>
          <w:sz w:val="23"/>
          <w:szCs w:val="23"/>
        </w:rPr>
        <w:t>aprovizionarea cu gaze naturale</w:t>
      </w:r>
      <w:r w:rsidRPr="007C266E">
        <w:rPr>
          <w:rStyle w:val="FootnoteReference"/>
          <w:rFonts w:ascii="Times New Roman" w:hAnsi="Times New Roman" w:cs="Times New Roman"/>
          <w:sz w:val="23"/>
          <w:szCs w:val="23"/>
        </w:rPr>
        <w:footnoteReference w:id="2"/>
      </w:r>
      <w:r w:rsidRPr="007C266E">
        <w:rPr>
          <w:rFonts w:ascii="Times New Roman" w:hAnsi="Times New Roman" w:cs="Times New Roman"/>
          <w:sz w:val="23"/>
          <w:szCs w:val="23"/>
        </w:rPr>
        <w:t xml:space="preserve">, România are în vedere în mod special dezvoltarea Sistemului Național de Transport Gaze Naturale pe coridorul Bulgaria – România – Ungaria – Austria (BRUA) și, de asemenea, dezvoltarea pe teritoriul României a Coridorului Sudic de transport pentru preluarea gazelor naturale de la țărmul Mării Negre. Interconectările existente vor continua să fie utilizate pe direcția Nord Vest (Medieșul Aurit), Sud Est (Isaccea) cu Ucraina, </w:t>
      </w:r>
      <w:r w:rsidRPr="007C266E">
        <w:rPr>
          <w:rFonts w:ascii="Times New Roman" w:hAnsi="Times New Roman" w:cs="Times New Roman"/>
          <w:color w:val="000000"/>
          <w:sz w:val="23"/>
          <w:szCs w:val="23"/>
        </w:rPr>
        <w:t>pe direcția Vest cu Ungaria, pe direcția Sud cu Bulgaria și pe direcția Est cu Republica Moldova</w:t>
      </w:r>
      <w:r w:rsidRPr="007C266E">
        <w:rPr>
          <w:rFonts w:ascii="Times New Roman" w:hAnsi="Times New Roman" w:cs="Times New Roman"/>
          <w:sz w:val="23"/>
          <w:szCs w:val="23"/>
        </w:rPr>
        <w:t>.</w:t>
      </w:r>
    </w:p>
    <w:p w14:paraId="31B09413" w14:textId="77777777" w:rsidR="0077657B" w:rsidRPr="007C266E" w:rsidRDefault="0077657B"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Asigurarea flexibilității și adecvanței sistemului energetic național reprezintă un obiectiv important pentru România în domeniul securității energetice. În conexiune </w:t>
      </w:r>
      <w:r w:rsidRPr="007C266E">
        <w:rPr>
          <w:rFonts w:ascii="Times New Roman" w:hAnsi="Times New Roman" w:cs="Times New Roman"/>
          <w:sz w:val="23"/>
          <w:szCs w:val="23"/>
          <w:lang w:val="ro-RO"/>
        </w:rPr>
        <w:lastRenderedPageBreak/>
        <w:t>cu obiectivul de asigurare a unui mix energetic diversificat, România își propune să înlocuiască capacitățile de producție de energie electrică care vor ieși din exploatare cu capacități noi, eficiente și cu emisii reduse, la nivelul anului 2030 (a se vedea Planul de Decarbonare propus de Complexul Energetic Oltenia). Până la înlocuirea capacităților pe cărbune cu capacități noi bazate pe tehnologii cu emisii reduse, se au în vedere lucrări de reabilitare și creșterea eficienței energetice a capacităților existente și care vor rămâne în exploatare din rațiuni de asigurare a securității energetice a României.</w:t>
      </w:r>
    </w:p>
    <w:p w14:paraId="5E2D704C" w14:textId="77777777" w:rsidR="0077657B" w:rsidRPr="007C266E" w:rsidRDefault="0077657B"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România își propune, de asemenea, obiective cu privire la încurajarea consumului dispecerizabil în vederea asigurării răspunsului la variațiile cererii precum și obiective cu privire la stocarea energiei. Dezvoltarea și utilizarea potențialului tehnico-economic al </w:t>
      </w:r>
      <w:r w:rsidR="006B1149" w:rsidRPr="007C266E">
        <w:rPr>
          <w:rFonts w:ascii="Times New Roman" w:hAnsi="Times New Roman" w:cs="Times New Roman"/>
          <w:sz w:val="23"/>
          <w:szCs w:val="23"/>
          <w:lang w:val="ro-RO"/>
        </w:rPr>
        <w:t>surselor regenerabile de energie (</w:t>
      </w:r>
      <w:r w:rsidRPr="007C266E">
        <w:rPr>
          <w:rFonts w:ascii="Times New Roman" w:hAnsi="Times New Roman" w:cs="Times New Roman"/>
          <w:sz w:val="23"/>
          <w:szCs w:val="23"/>
          <w:lang w:val="ro-RO"/>
        </w:rPr>
        <w:t>SRE</w:t>
      </w:r>
      <w:r w:rsidR="006B1149"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în SEN depinde de dezvoltarea capacităților de stocare, precum și a tehnologiilor privind injectarea de hidrogen sub formă de gaz de sinteză din SRE și utilizarea hidrogenului în procesele industriale.</w:t>
      </w:r>
    </w:p>
    <w:p w14:paraId="1039F3D2" w14:textId="77777777" w:rsidR="00C43C61" w:rsidRPr="007C266E" w:rsidRDefault="006C6431" w:rsidP="006E1D2D">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Pentru a permite integrarea SRE în sistemul energetic național, se va demara din anul 2024 o tranziție de la capacități pe bază de cărbune la cele pe bază de gaz natural, deoarece acest combustibil are avantajul de a permite o funcționare flexibilă. Astfel, se poate asigura echilibrarea sistemului, ținând cont de caracterul intermitent al SRE. În acest sens, este prevăzuta la nivelul anului 2030 instalarea unor capacități noi pe gaz natural de cel puțin 1.400 MW.</w:t>
      </w:r>
    </w:p>
    <w:p w14:paraId="5CCC0BDF" w14:textId="77777777" w:rsidR="006B1149" w:rsidRPr="007C266E" w:rsidRDefault="006B1149" w:rsidP="004B4A53">
      <w:pPr>
        <w:spacing w:line="240" w:lineRule="auto"/>
        <w:jc w:val="both"/>
        <w:rPr>
          <w:rFonts w:ascii="Times New Roman" w:hAnsi="Times New Roman" w:cs="Times New Roman"/>
          <w:color w:val="000000"/>
          <w:sz w:val="23"/>
          <w:szCs w:val="23"/>
          <w:lang w:val="ro-RO"/>
        </w:rPr>
      </w:pPr>
      <w:r w:rsidRPr="007C266E">
        <w:rPr>
          <w:rFonts w:ascii="Times New Roman" w:hAnsi="Times New Roman" w:cs="Times New Roman"/>
          <w:color w:val="000000"/>
          <w:sz w:val="23"/>
          <w:szCs w:val="23"/>
          <w:lang w:val="ro-RO"/>
        </w:rPr>
        <w:t xml:space="preserve">Cu privire la asigurarea adecvanței sistemului energetic, potrivit analizelor Transelectrica, în prezent, limitele acceptabile pentru puterea produsă din surse eoliene și fotovoltaice sunt puternic condiționate de nivelul hidraulicității și al regimului termic. Astfel, din punctul de vedere al flexibilității puterii reziduale, critice la nivelul anului sunt orele cu consum ridicat iarna/vara, orele de minim/maxim termic și </w:t>
      </w:r>
      <w:r w:rsidRPr="007C266E">
        <w:rPr>
          <w:rFonts w:ascii="Times New Roman" w:hAnsi="Times New Roman" w:cs="Times New Roman"/>
          <w:color w:val="000000"/>
          <w:sz w:val="23"/>
          <w:szCs w:val="23"/>
          <w:lang w:val="ro-RO"/>
        </w:rPr>
        <w:lastRenderedPageBreak/>
        <w:t xml:space="preserve">orele cu hidraulicitate extremă (minimă/maximă). Analizele menționate mai sus indică drept obiectiv necesitatea instalării de capacități suplimentare de cel puțin 400 MW la orizontul anului 2020, respectiv 600 MW (suplimentar față de 2020) în 2025. Având în vedere termenele menționate, este posibil ca România să considere </w:t>
      </w:r>
      <w:r w:rsidR="00E73BB1" w:rsidRPr="007C266E">
        <w:rPr>
          <w:rFonts w:ascii="Times New Roman" w:hAnsi="Times New Roman" w:cs="Times New Roman"/>
          <w:color w:val="000000"/>
          <w:sz w:val="23"/>
          <w:szCs w:val="23"/>
          <w:lang w:val="ro-RO"/>
        </w:rPr>
        <w:t xml:space="preserve">ca pentru proiectele </w:t>
      </w:r>
      <w:r w:rsidRPr="007C266E">
        <w:rPr>
          <w:rFonts w:ascii="Times New Roman" w:hAnsi="Times New Roman" w:cs="Times New Roman"/>
          <w:color w:val="000000"/>
          <w:sz w:val="23"/>
          <w:szCs w:val="23"/>
          <w:lang w:val="ro-RO"/>
        </w:rPr>
        <w:t>ori</w:t>
      </w:r>
      <w:r w:rsidR="00E73BB1" w:rsidRPr="007C266E">
        <w:rPr>
          <w:rFonts w:ascii="Times New Roman" w:hAnsi="Times New Roman" w:cs="Times New Roman"/>
          <w:color w:val="000000"/>
          <w:sz w:val="23"/>
          <w:szCs w:val="23"/>
          <w:lang w:val="ro-RO"/>
        </w:rPr>
        <w:t>ori</w:t>
      </w:r>
      <w:r w:rsidRPr="007C266E">
        <w:rPr>
          <w:rFonts w:ascii="Times New Roman" w:hAnsi="Times New Roman" w:cs="Times New Roman"/>
          <w:color w:val="000000"/>
          <w:sz w:val="23"/>
          <w:szCs w:val="23"/>
          <w:lang w:val="ro-RO"/>
        </w:rPr>
        <w:t xml:space="preserve">tare </w:t>
      </w:r>
      <w:r w:rsidR="00E73BB1" w:rsidRPr="007C266E">
        <w:rPr>
          <w:rFonts w:ascii="Times New Roman" w:hAnsi="Times New Roman" w:cs="Times New Roman"/>
          <w:color w:val="000000"/>
          <w:sz w:val="23"/>
          <w:szCs w:val="23"/>
          <w:lang w:val="ro-RO"/>
        </w:rPr>
        <w:t>să acorde sprijin</w:t>
      </w:r>
      <w:r w:rsidRPr="007C266E">
        <w:rPr>
          <w:rFonts w:ascii="Times New Roman" w:hAnsi="Times New Roman" w:cs="Times New Roman"/>
          <w:color w:val="000000"/>
          <w:sz w:val="23"/>
          <w:szCs w:val="23"/>
          <w:lang w:val="ro-RO"/>
        </w:rPr>
        <w:t xml:space="preserve">, în cazul în care mecanismele de piață nu sunt suficiente, </w:t>
      </w:r>
      <w:r w:rsidR="00E73BB1" w:rsidRPr="007C266E">
        <w:rPr>
          <w:rFonts w:ascii="Times New Roman" w:hAnsi="Times New Roman" w:cs="Times New Roman"/>
          <w:color w:val="000000"/>
          <w:sz w:val="23"/>
          <w:szCs w:val="23"/>
          <w:lang w:val="ro-RO"/>
        </w:rPr>
        <w:t xml:space="preserve">prin </w:t>
      </w:r>
      <w:r w:rsidRPr="007C266E">
        <w:rPr>
          <w:rFonts w:ascii="Times New Roman" w:hAnsi="Times New Roman" w:cs="Times New Roman"/>
          <w:color w:val="000000"/>
          <w:sz w:val="23"/>
          <w:szCs w:val="23"/>
          <w:lang w:val="ro-RO"/>
        </w:rPr>
        <w:t xml:space="preserve">scheme suport (de tipul CfD). </w:t>
      </w:r>
    </w:p>
    <w:p w14:paraId="1AF05815" w14:textId="77777777" w:rsidR="00C43C61" w:rsidRPr="007C266E" w:rsidRDefault="006C6431" w:rsidP="004B4A53">
      <w:pPr>
        <w:pStyle w:val="Heading2"/>
        <w:spacing w:line="240" w:lineRule="auto"/>
        <w:rPr>
          <w:rFonts w:ascii="Times New Roman" w:hAnsi="Times New Roman" w:cs="Times New Roman"/>
          <w:sz w:val="23"/>
          <w:szCs w:val="23"/>
          <w:lang w:val="ro-RO"/>
        </w:rPr>
      </w:pPr>
      <w:bookmarkStart w:id="62" w:name="_Toc44400882"/>
      <w:r w:rsidRPr="007C266E">
        <w:rPr>
          <w:rFonts w:ascii="Times New Roman" w:hAnsi="Times New Roman" w:cs="Times New Roman"/>
          <w:sz w:val="23"/>
          <w:szCs w:val="23"/>
          <w:lang w:val="ro-RO"/>
        </w:rPr>
        <w:t>VI.4</w:t>
      </w:r>
      <w:r w:rsidR="0038752B" w:rsidRPr="007C266E">
        <w:rPr>
          <w:rFonts w:ascii="Times New Roman" w:hAnsi="Times New Roman" w:cs="Times New Roman"/>
          <w:sz w:val="23"/>
          <w:szCs w:val="23"/>
          <w:lang w:val="ro-RO"/>
        </w:rPr>
        <w:t>.</w:t>
      </w:r>
      <w:r w:rsidR="0038752B" w:rsidRPr="007C266E">
        <w:rPr>
          <w:rFonts w:ascii="Times New Roman" w:hAnsi="Times New Roman" w:cs="Times New Roman"/>
          <w:sz w:val="23"/>
          <w:szCs w:val="23"/>
          <w:lang w:val="ro-RO"/>
        </w:rPr>
        <w:tab/>
      </w:r>
      <w:r w:rsidR="00D00E8E" w:rsidRPr="007C266E">
        <w:rPr>
          <w:rFonts w:ascii="Times New Roman" w:hAnsi="Times New Roman" w:cs="Times New Roman"/>
          <w:sz w:val="23"/>
          <w:szCs w:val="23"/>
          <w:lang w:val="ro-RO"/>
        </w:rPr>
        <w:t>Proiecte de interconexiune</w:t>
      </w:r>
      <w:bookmarkEnd w:id="62"/>
    </w:p>
    <w:p w14:paraId="116FF0F4" w14:textId="77777777" w:rsidR="00C43C61" w:rsidRPr="007C266E" w:rsidRDefault="00C43C61" w:rsidP="006E1D2D">
      <w:pPr>
        <w:spacing w:after="0" w:line="240" w:lineRule="auto"/>
        <w:jc w:val="both"/>
        <w:rPr>
          <w:rFonts w:ascii="Times New Roman" w:hAnsi="Times New Roman" w:cs="Times New Roman"/>
          <w:sz w:val="23"/>
          <w:szCs w:val="23"/>
          <w:lang w:val="ro-RO"/>
        </w:rPr>
      </w:pPr>
    </w:p>
    <w:p w14:paraId="0E7B7385" w14:textId="77777777" w:rsidR="00D00E8E" w:rsidRPr="007C266E" w:rsidRDefault="00D00E8E"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România își propune să suplimenteze capacitățile de interconexiune la orizontul anului 2030, având în vedere analizele cost-beneficiu din punct de vedere socio-economic și de mediu, urmând a fi implementate proiectele în cazul cărora beneficiile potențiale sunt mai mari decât costurile.</w:t>
      </w:r>
    </w:p>
    <w:p w14:paraId="310B759B" w14:textId="77777777" w:rsidR="00D00E8E" w:rsidRPr="007C266E" w:rsidRDefault="00D00E8E" w:rsidP="00A86877">
      <w:pPr>
        <w:spacing w:after="0" w:line="240" w:lineRule="auto"/>
        <w:jc w:val="both"/>
        <w:rPr>
          <w:rFonts w:ascii="Times New Roman" w:hAnsi="Times New Roman" w:cs="Times New Roman"/>
          <w:sz w:val="23"/>
          <w:szCs w:val="23"/>
          <w:lang w:val="ro-RO"/>
        </w:rPr>
      </w:pPr>
    </w:p>
    <w:p w14:paraId="1FAB8F4E" w14:textId="77777777" w:rsidR="00D00E8E" w:rsidRPr="007C266E" w:rsidRDefault="00D00E8E" w:rsidP="002F5C09">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același timp, prin cadrul legislativ primar și secundar, dar și prin finalizarea proiectelor legate de închiderea inelului național de 400 kV (linii interne), România va crea condițiile pentru maximizarea capacităților de interconexiune ofertare.</w:t>
      </w:r>
    </w:p>
    <w:p w14:paraId="13A56E91" w14:textId="77777777" w:rsidR="00D00E8E" w:rsidRPr="007C266E" w:rsidRDefault="00D00E8E" w:rsidP="009E5804">
      <w:pPr>
        <w:spacing w:after="0" w:line="240" w:lineRule="auto"/>
        <w:jc w:val="both"/>
        <w:rPr>
          <w:rFonts w:ascii="Times New Roman" w:hAnsi="Times New Roman" w:cs="Times New Roman"/>
          <w:sz w:val="23"/>
          <w:szCs w:val="23"/>
          <w:lang w:val="ro-RO"/>
        </w:rPr>
      </w:pPr>
    </w:p>
    <w:p w14:paraId="4C8F723D" w14:textId="77777777" w:rsidR="00D00E8E" w:rsidRPr="007C266E" w:rsidRDefault="00D00E8E"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Implementare</w:t>
      </w:r>
      <w:r w:rsidR="0038752B" w:rsidRPr="007C266E">
        <w:rPr>
          <w:rFonts w:ascii="Times New Roman" w:hAnsi="Times New Roman" w:cs="Times New Roman"/>
          <w:sz w:val="23"/>
          <w:szCs w:val="23"/>
          <w:lang w:val="ro-RO"/>
        </w:rPr>
        <w:t xml:space="preserve">a Proiectelor de Interes Comun și </w:t>
      </w:r>
      <w:r w:rsidRPr="007C266E">
        <w:rPr>
          <w:rFonts w:ascii="Times New Roman" w:hAnsi="Times New Roman" w:cs="Times New Roman"/>
          <w:sz w:val="23"/>
          <w:szCs w:val="23"/>
          <w:lang w:val="ro-RO"/>
        </w:rPr>
        <w:t>realizarea celorlalte proiecte de dezvoltare a rețelei electrice de transport, incluse în Planul de Dezvoltare a RET perioada 2018-2027, vor ajuta considerabil pentru atingerea acestui obiectiv. Evoluția capacității de transfer  este prezentată în următorul tabel:</w:t>
      </w:r>
    </w:p>
    <w:p w14:paraId="361E6587" w14:textId="77777777" w:rsidR="0038752B" w:rsidRPr="007C266E" w:rsidRDefault="0038752B" w:rsidP="009E5804">
      <w:pPr>
        <w:spacing w:after="0" w:line="240" w:lineRule="auto"/>
        <w:jc w:val="both"/>
        <w:rPr>
          <w:rFonts w:ascii="Times New Roman" w:hAnsi="Times New Roman" w:cs="Times New Roman"/>
          <w:b/>
          <w:sz w:val="23"/>
          <w:szCs w:val="23"/>
          <w:lang w:val="ro-RO"/>
        </w:rPr>
      </w:pPr>
    </w:p>
    <w:tbl>
      <w:tblPr>
        <w:tblStyle w:val="TableGrid"/>
        <w:tblW w:w="0" w:type="auto"/>
        <w:tblInd w:w="108" w:type="dxa"/>
        <w:tblLook w:val="04A0" w:firstRow="1" w:lastRow="0" w:firstColumn="1" w:lastColumn="0" w:noHBand="0" w:noVBand="1"/>
      </w:tblPr>
      <w:tblGrid>
        <w:gridCol w:w="1800"/>
        <w:gridCol w:w="900"/>
        <w:gridCol w:w="1350"/>
      </w:tblGrid>
      <w:tr w:rsidR="0038752B" w:rsidRPr="007C266E" w14:paraId="30437386" w14:textId="77777777" w:rsidTr="0018686E">
        <w:tc>
          <w:tcPr>
            <w:tcW w:w="1800" w:type="dxa"/>
          </w:tcPr>
          <w:p w14:paraId="4729BDF1" w14:textId="77777777" w:rsidR="0038752B" w:rsidRPr="007C266E" w:rsidRDefault="0038752B" w:rsidP="009E5804">
            <w:pPr>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Indicator</w:t>
            </w:r>
          </w:p>
        </w:tc>
        <w:tc>
          <w:tcPr>
            <w:tcW w:w="900" w:type="dxa"/>
          </w:tcPr>
          <w:p w14:paraId="27688E7C" w14:textId="77777777" w:rsidR="0038752B" w:rsidRPr="007C266E" w:rsidRDefault="0038752B" w:rsidP="009E5804">
            <w:pPr>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2017</w:t>
            </w:r>
          </w:p>
        </w:tc>
        <w:tc>
          <w:tcPr>
            <w:tcW w:w="1350" w:type="dxa"/>
          </w:tcPr>
          <w:p w14:paraId="712EECE8" w14:textId="77777777" w:rsidR="0038752B" w:rsidRPr="007C266E" w:rsidRDefault="0038752B" w:rsidP="009E5804">
            <w:pPr>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2020-2030</w:t>
            </w:r>
          </w:p>
        </w:tc>
      </w:tr>
      <w:tr w:rsidR="0038752B" w:rsidRPr="007C266E" w14:paraId="29892D81" w14:textId="77777777" w:rsidTr="0018686E">
        <w:tc>
          <w:tcPr>
            <w:tcW w:w="1800" w:type="dxa"/>
            <w:vAlign w:val="center"/>
          </w:tcPr>
          <w:p w14:paraId="26B39D3E" w14:textId="77777777" w:rsidR="0038752B" w:rsidRPr="007C266E" w:rsidRDefault="0038752B" w:rsidP="006E1D2D">
            <w:pPr>
              <w:rPr>
                <w:rFonts w:ascii="Times New Roman" w:hAnsi="Times New Roman" w:cs="Times New Roman"/>
                <w:sz w:val="23"/>
                <w:szCs w:val="23"/>
                <w:lang w:val="ro-RO"/>
              </w:rPr>
            </w:pPr>
            <w:r w:rsidRPr="007C266E">
              <w:rPr>
                <w:rFonts w:ascii="Times New Roman" w:eastAsia="Calibri" w:hAnsi="Times New Roman" w:cs="Times New Roman"/>
                <w:color w:val="000000"/>
                <w:sz w:val="23"/>
                <w:szCs w:val="23"/>
                <w:lang w:val="ro-RO"/>
              </w:rPr>
              <w:t>Valoare NTC* (GW)</w:t>
            </w:r>
          </w:p>
        </w:tc>
        <w:tc>
          <w:tcPr>
            <w:tcW w:w="900" w:type="dxa"/>
            <w:vAlign w:val="center"/>
          </w:tcPr>
          <w:p w14:paraId="53A42AE4" w14:textId="77777777" w:rsidR="0038752B" w:rsidRPr="007C266E" w:rsidRDefault="0038752B" w:rsidP="00A86877">
            <w:pPr>
              <w:jc w:val="both"/>
              <w:rPr>
                <w:rFonts w:ascii="Times New Roman" w:hAnsi="Times New Roman" w:cs="Times New Roman"/>
                <w:sz w:val="23"/>
                <w:szCs w:val="23"/>
                <w:lang w:val="ro-RO"/>
              </w:rPr>
            </w:pPr>
            <w:r w:rsidRPr="007C266E">
              <w:rPr>
                <w:rFonts w:ascii="Times New Roman" w:eastAsia="Calibri" w:hAnsi="Times New Roman" w:cs="Times New Roman"/>
                <w:color w:val="000000"/>
                <w:sz w:val="23"/>
                <w:szCs w:val="23"/>
                <w:lang w:val="ro-RO"/>
              </w:rPr>
              <w:t>1,4</w:t>
            </w:r>
          </w:p>
        </w:tc>
        <w:tc>
          <w:tcPr>
            <w:tcW w:w="1350" w:type="dxa"/>
          </w:tcPr>
          <w:p w14:paraId="5C0E3EB9" w14:textId="77777777" w:rsidR="0038752B" w:rsidRPr="007C266E" w:rsidRDefault="0038752B" w:rsidP="00A86877">
            <w:pPr>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3,5</w:t>
            </w:r>
          </w:p>
        </w:tc>
      </w:tr>
      <w:tr w:rsidR="0038752B" w:rsidRPr="007C266E" w14:paraId="0B5B413C" w14:textId="77777777" w:rsidTr="0018686E">
        <w:tc>
          <w:tcPr>
            <w:tcW w:w="1800" w:type="dxa"/>
            <w:vAlign w:val="center"/>
          </w:tcPr>
          <w:p w14:paraId="0EA36FBB" w14:textId="77777777" w:rsidR="0038752B" w:rsidRPr="007C266E" w:rsidRDefault="0038752B" w:rsidP="006E1D2D">
            <w:pPr>
              <w:rPr>
                <w:rFonts w:ascii="Times New Roman" w:hAnsi="Times New Roman" w:cs="Times New Roman"/>
                <w:sz w:val="23"/>
                <w:szCs w:val="23"/>
                <w:lang w:val="ro-RO"/>
              </w:rPr>
            </w:pPr>
            <w:r w:rsidRPr="007C266E">
              <w:rPr>
                <w:rFonts w:ascii="Times New Roman" w:eastAsia="Calibri" w:hAnsi="Times New Roman" w:cs="Times New Roman"/>
                <w:color w:val="000000"/>
                <w:sz w:val="23"/>
                <w:szCs w:val="23"/>
                <w:lang w:val="ro-RO"/>
              </w:rPr>
              <w:t>Creșterea capacității de transfer (GW) – Total, din care:</w:t>
            </w:r>
          </w:p>
        </w:tc>
        <w:tc>
          <w:tcPr>
            <w:tcW w:w="900" w:type="dxa"/>
            <w:vAlign w:val="center"/>
          </w:tcPr>
          <w:p w14:paraId="2F01FF73" w14:textId="77777777" w:rsidR="0038752B" w:rsidRPr="007C266E" w:rsidRDefault="0038752B" w:rsidP="00A86877">
            <w:pPr>
              <w:jc w:val="both"/>
              <w:rPr>
                <w:rFonts w:ascii="Times New Roman" w:hAnsi="Times New Roman" w:cs="Times New Roman"/>
                <w:sz w:val="23"/>
                <w:szCs w:val="23"/>
                <w:lang w:val="ro-RO"/>
              </w:rPr>
            </w:pPr>
          </w:p>
        </w:tc>
        <w:tc>
          <w:tcPr>
            <w:tcW w:w="1350" w:type="dxa"/>
          </w:tcPr>
          <w:p w14:paraId="7AB1A030" w14:textId="77777777" w:rsidR="0038752B" w:rsidRPr="007C266E" w:rsidRDefault="0038752B" w:rsidP="00A86877">
            <w:pPr>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2,1</w:t>
            </w:r>
          </w:p>
        </w:tc>
      </w:tr>
      <w:tr w:rsidR="0038752B" w:rsidRPr="007C266E" w14:paraId="5EA2B3DA" w14:textId="77777777" w:rsidTr="0018686E">
        <w:tc>
          <w:tcPr>
            <w:tcW w:w="1800" w:type="dxa"/>
            <w:vAlign w:val="center"/>
          </w:tcPr>
          <w:p w14:paraId="46E24E92" w14:textId="77777777" w:rsidR="0038752B" w:rsidRPr="007C266E" w:rsidRDefault="0038752B" w:rsidP="006E1D2D">
            <w:pPr>
              <w:rPr>
                <w:rFonts w:ascii="Times New Roman" w:hAnsi="Times New Roman" w:cs="Times New Roman"/>
                <w:sz w:val="23"/>
                <w:szCs w:val="23"/>
                <w:lang w:val="ro-RO"/>
              </w:rPr>
            </w:pPr>
            <w:r w:rsidRPr="007C266E">
              <w:rPr>
                <w:rFonts w:ascii="Times New Roman" w:eastAsia="Calibri" w:hAnsi="Times New Roman" w:cs="Times New Roman"/>
                <w:color w:val="000000"/>
                <w:sz w:val="23"/>
                <w:szCs w:val="23"/>
                <w:lang w:val="ro-RO"/>
              </w:rPr>
              <w:t>LEA 400kV Oradea-Nădab</w:t>
            </w:r>
          </w:p>
        </w:tc>
        <w:tc>
          <w:tcPr>
            <w:tcW w:w="900" w:type="dxa"/>
            <w:vAlign w:val="center"/>
          </w:tcPr>
          <w:p w14:paraId="72ED2495" w14:textId="77777777" w:rsidR="0038752B" w:rsidRPr="007C266E" w:rsidRDefault="0038752B" w:rsidP="00A86877">
            <w:pPr>
              <w:jc w:val="both"/>
              <w:rPr>
                <w:rFonts w:ascii="Times New Roman" w:hAnsi="Times New Roman" w:cs="Times New Roman"/>
                <w:sz w:val="23"/>
                <w:szCs w:val="23"/>
                <w:lang w:val="ro-RO"/>
              </w:rPr>
            </w:pPr>
          </w:p>
        </w:tc>
        <w:tc>
          <w:tcPr>
            <w:tcW w:w="1350" w:type="dxa"/>
            <w:vAlign w:val="center"/>
          </w:tcPr>
          <w:p w14:paraId="0EA15767" w14:textId="77777777" w:rsidR="0038752B" w:rsidRPr="007C266E" w:rsidRDefault="0038752B" w:rsidP="00A86877">
            <w:pPr>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0,3</w:t>
            </w:r>
          </w:p>
        </w:tc>
      </w:tr>
      <w:tr w:rsidR="0038752B" w:rsidRPr="007C266E" w14:paraId="0C87BE37" w14:textId="77777777" w:rsidTr="0018686E">
        <w:tc>
          <w:tcPr>
            <w:tcW w:w="1800" w:type="dxa"/>
            <w:vAlign w:val="center"/>
          </w:tcPr>
          <w:p w14:paraId="22DA9D32" w14:textId="77777777" w:rsidR="0038752B" w:rsidRPr="007C266E" w:rsidRDefault="0038752B" w:rsidP="006E1D2D">
            <w:pPr>
              <w:rPr>
                <w:rFonts w:ascii="Times New Roman" w:hAnsi="Times New Roman" w:cs="Times New Roman"/>
                <w:sz w:val="23"/>
                <w:szCs w:val="23"/>
                <w:lang w:val="ro-RO"/>
              </w:rPr>
            </w:pPr>
            <w:r w:rsidRPr="007C266E">
              <w:rPr>
                <w:rFonts w:ascii="Times New Roman" w:eastAsia="Calibri" w:hAnsi="Times New Roman" w:cs="Times New Roman"/>
                <w:color w:val="000000"/>
                <w:sz w:val="23"/>
                <w:szCs w:val="23"/>
                <w:lang w:val="ro-RO"/>
              </w:rPr>
              <w:t xml:space="preserve">LEA 400kV Reșita-Pancevo + LEA 400Kv </w:t>
            </w:r>
            <w:r w:rsidRPr="007C266E">
              <w:rPr>
                <w:rFonts w:ascii="Times New Roman" w:eastAsia="Calibri" w:hAnsi="Times New Roman" w:cs="Times New Roman"/>
                <w:color w:val="000000"/>
                <w:sz w:val="23"/>
                <w:szCs w:val="23"/>
                <w:lang w:val="ro-RO"/>
              </w:rPr>
              <w:lastRenderedPageBreak/>
              <w:t>Porțile de Fier-Reșița</w:t>
            </w:r>
          </w:p>
        </w:tc>
        <w:tc>
          <w:tcPr>
            <w:tcW w:w="900" w:type="dxa"/>
            <w:vAlign w:val="center"/>
          </w:tcPr>
          <w:p w14:paraId="37CD4954" w14:textId="77777777" w:rsidR="0038752B" w:rsidRPr="007C266E" w:rsidRDefault="0038752B" w:rsidP="00A86877">
            <w:pPr>
              <w:jc w:val="both"/>
              <w:rPr>
                <w:rFonts w:ascii="Times New Roman" w:hAnsi="Times New Roman" w:cs="Times New Roman"/>
                <w:sz w:val="23"/>
                <w:szCs w:val="23"/>
                <w:lang w:val="ro-RO"/>
              </w:rPr>
            </w:pPr>
          </w:p>
        </w:tc>
        <w:tc>
          <w:tcPr>
            <w:tcW w:w="1350" w:type="dxa"/>
            <w:vAlign w:val="center"/>
          </w:tcPr>
          <w:p w14:paraId="5982DDE7" w14:textId="77777777" w:rsidR="0038752B" w:rsidRPr="007C266E" w:rsidRDefault="0038752B" w:rsidP="00A86877">
            <w:pPr>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0,3</w:t>
            </w:r>
          </w:p>
        </w:tc>
      </w:tr>
      <w:tr w:rsidR="0038752B" w:rsidRPr="007C266E" w14:paraId="419A2089" w14:textId="77777777" w:rsidTr="0018686E">
        <w:tc>
          <w:tcPr>
            <w:tcW w:w="1800" w:type="dxa"/>
            <w:vAlign w:val="center"/>
          </w:tcPr>
          <w:p w14:paraId="4E98E88B" w14:textId="77777777" w:rsidR="0038752B" w:rsidRPr="007C266E" w:rsidRDefault="0038752B" w:rsidP="006E1D2D">
            <w:pPr>
              <w:rPr>
                <w:rFonts w:ascii="Times New Roman" w:hAnsi="Times New Roman" w:cs="Times New Roman"/>
                <w:sz w:val="23"/>
                <w:szCs w:val="23"/>
                <w:lang w:val="ro-RO"/>
              </w:rPr>
            </w:pPr>
            <w:r w:rsidRPr="007C266E">
              <w:rPr>
                <w:rFonts w:ascii="Times New Roman" w:eastAsia="Calibri" w:hAnsi="Times New Roman" w:cs="Times New Roman"/>
                <w:color w:val="000000"/>
                <w:sz w:val="23"/>
                <w:szCs w:val="23"/>
                <w:lang w:val="ro-RO"/>
              </w:rPr>
              <w:lastRenderedPageBreak/>
              <w:t>LEA 400kV Smârdan Gutinaș + LEA 400kV Cernavodă-Stâlpu</w:t>
            </w:r>
          </w:p>
        </w:tc>
        <w:tc>
          <w:tcPr>
            <w:tcW w:w="900" w:type="dxa"/>
            <w:vAlign w:val="center"/>
          </w:tcPr>
          <w:p w14:paraId="5B1E0EE9" w14:textId="77777777" w:rsidR="0038752B" w:rsidRPr="007C266E" w:rsidRDefault="0038752B" w:rsidP="00A86877">
            <w:pPr>
              <w:jc w:val="both"/>
              <w:rPr>
                <w:rFonts w:ascii="Times New Roman" w:hAnsi="Times New Roman" w:cs="Times New Roman"/>
                <w:sz w:val="23"/>
                <w:szCs w:val="23"/>
                <w:lang w:val="ro-RO"/>
              </w:rPr>
            </w:pPr>
          </w:p>
        </w:tc>
        <w:tc>
          <w:tcPr>
            <w:tcW w:w="1350" w:type="dxa"/>
            <w:vAlign w:val="center"/>
          </w:tcPr>
          <w:p w14:paraId="2B2EE87F" w14:textId="77777777" w:rsidR="0038752B" w:rsidRPr="007C266E" w:rsidRDefault="0038752B" w:rsidP="00A86877">
            <w:pPr>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0,6</w:t>
            </w:r>
          </w:p>
        </w:tc>
      </w:tr>
      <w:tr w:rsidR="0038752B" w:rsidRPr="007C266E" w14:paraId="1F2A294F" w14:textId="77777777" w:rsidTr="0018686E">
        <w:tc>
          <w:tcPr>
            <w:tcW w:w="1800" w:type="dxa"/>
            <w:vAlign w:val="center"/>
          </w:tcPr>
          <w:p w14:paraId="50DEFDC9" w14:textId="77777777" w:rsidR="0038752B" w:rsidRPr="007C266E" w:rsidRDefault="0038752B" w:rsidP="006E1D2D">
            <w:pPr>
              <w:rPr>
                <w:rFonts w:ascii="Times New Roman" w:hAnsi="Times New Roman" w:cs="Times New Roman"/>
                <w:sz w:val="23"/>
                <w:szCs w:val="23"/>
                <w:lang w:val="ro-RO"/>
              </w:rPr>
            </w:pPr>
            <w:r w:rsidRPr="007C266E">
              <w:rPr>
                <w:rFonts w:ascii="Times New Roman" w:eastAsia="Calibri" w:hAnsi="Times New Roman" w:cs="Times New Roman"/>
                <w:color w:val="000000"/>
                <w:sz w:val="23"/>
                <w:szCs w:val="23"/>
                <w:lang w:val="ro-RO"/>
              </w:rPr>
              <w:t>Trecerea la 400Kv a axului Reșița-Timișoara-Arad</w:t>
            </w:r>
          </w:p>
        </w:tc>
        <w:tc>
          <w:tcPr>
            <w:tcW w:w="900" w:type="dxa"/>
            <w:vAlign w:val="center"/>
          </w:tcPr>
          <w:p w14:paraId="15BAF5F1" w14:textId="77777777" w:rsidR="0038752B" w:rsidRPr="007C266E" w:rsidRDefault="0038752B" w:rsidP="00A86877">
            <w:pPr>
              <w:jc w:val="both"/>
              <w:rPr>
                <w:rFonts w:ascii="Times New Roman" w:hAnsi="Times New Roman" w:cs="Times New Roman"/>
                <w:sz w:val="23"/>
                <w:szCs w:val="23"/>
                <w:lang w:val="ro-RO"/>
              </w:rPr>
            </w:pPr>
          </w:p>
        </w:tc>
        <w:tc>
          <w:tcPr>
            <w:tcW w:w="1350" w:type="dxa"/>
          </w:tcPr>
          <w:p w14:paraId="4079E3EF" w14:textId="77777777" w:rsidR="0038752B" w:rsidRPr="007C266E" w:rsidRDefault="0038752B" w:rsidP="00A86877">
            <w:pPr>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0,9</w:t>
            </w:r>
          </w:p>
        </w:tc>
      </w:tr>
    </w:tbl>
    <w:p w14:paraId="2F7F7B3D" w14:textId="77777777" w:rsidR="0038752B" w:rsidRPr="007C266E" w:rsidRDefault="0038752B" w:rsidP="006E1D2D">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*Valoare NTC – capacitatea totală de import</w:t>
      </w:r>
    </w:p>
    <w:p w14:paraId="48A7AE33" w14:textId="77777777" w:rsidR="0038752B" w:rsidRPr="007C266E" w:rsidRDefault="0038752B" w:rsidP="004B4A53">
      <w:pPr>
        <w:spacing w:after="0" w:line="240" w:lineRule="auto"/>
        <w:jc w:val="both"/>
        <w:rPr>
          <w:rFonts w:ascii="Times New Roman" w:hAnsi="Times New Roman" w:cs="Times New Roman"/>
          <w:i/>
          <w:iCs/>
          <w:sz w:val="23"/>
          <w:szCs w:val="23"/>
          <w:lang w:val="ro-RO"/>
        </w:rPr>
      </w:pPr>
      <w:r w:rsidRPr="007C266E">
        <w:rPr>
          <w:rFonts w:ascii="Times New Roman" w:hAnsi="Times New Roman" w:cs="Times New Roman"/>
          <w:i/>
          <w:iCs/>
          <w:sz w:val="23"/>
          <w:szCs w:val="23"/>
          <w:lang w:val="ro-RO"/>
        </w:rPr>
        <w:t xml:space="preserve">Sursă: Anexa F5 – Planul de Dezvoltare a RET perioada 2018 – 2027 </w:t>
      </w:r>
    </w:p>
    <w:p w14:paraId="63D2A89A" w14:textId="77777777" w:rsidR="0018686E" w:rsidRPr="007C266E" w:rsidRDefault="0018686E" w:rsidP="004B4A53">
      <w:pPr>
        <w:spacing w:line="240" w:lineRule="auto"/>
        <w:jc w:val="both"/>
        <w:rPr>
          <w:rFonts w:ascii="Times New Roman" w:hAnsi="Times New Roman" w:cs="Times New Roman"/>
          <w:sz w:val="23"/>
          <w:szCs w:val="23"/>
          <w:lang w:val="ro-RO"/>
        </w:rPr>
      </w:pPr>
    </w:p>
    <w:p w14:paraId="239B0020" w14:textId="77777777" w:rsidR="00FA4330" w:rsidRPr="007C266E" w:rsidRDefault="00FA4330"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România își propune să suplimenteze capacitățile de interconexiune la orizontul anului 2030, având în vedere analizele cost-beneficiu din punct de vedere socio-economic și de mediu, urmând a fi implementate proiectele în cazul cărora beneficiile potențiale sunt mai mari decât costurile.</w:t>
      </w:r>
    </w:p>
    <w:p w14:paraId="0C609FD9" w14:textId="77777777" w:rsidR="00FA4330" w:rsidRPr="007C266E" w:rsidRDefault="00FA4330"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același timp, prin cadrul legislativ primar și secundar, dar și prin finalizarea proiectelor legate de închiderea inelului național de 400 kV (linii interne), România va crea condițiile inclusiv pentru maximizarea capacităților de interconexiune ofertate.</w:t>
      </w:r>
    </w:p>
    <w:p w14:paraId="71E10199" w14:textId="77777777" w:rsidR="00FA4330" w:rsidRPr="007C266E" w:rsidRDefault="00FA4330"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Implementarea Proiectelor de Interes Comun (PI</w:t>
      </w:r>
      <w:r w:rsidR="00705399" w:rsidRPr="007C266E">
        <w:rPr>
          <w:rFonts w:ascii="Times New Roman" w:hAnsi="Times New Roman" w:cs="Times New Roman"/>
          <w:sz w:val="23"/>
          <w:szCs w:val="23"/>
          <w:lang w:val="ro-RO"/>
        </w:rPr>
        <w:t>C</w:t>
      </w:r>
      <w:r w:rsidRPr="007C266E">
        <w:rPr>
          <w:rFonts w:ascii="Times New Roman" w:hAnsi="Times New Roman" w:cs="Times New Roman"/>
          <w:sz w:val="23"/>
          <w:szCs w:val="23"/>
          <w:lang w:val="ro-RO"/>
        </w:rPr>
        <w:t xml:space="preserve">-urilor) și realizarea celorlalte proiecte de dezvoltare a rețelei electrice de transport, incluse în Planul de Dezvoltare a RET perioada 2018-2027, vor ajuta considerabil pentru atingerea unui grad de interconectare a rețelelor electrice de cel puțin 15,4% la nivelul anului 2030. </w:t>
      </w:r>
    </w:p>
    <w:p w14:paraId="60074C82" w14:textId="77777777" w:rsidR="00FA4330" w:rsidRPr="007C266E" w:rsidRDefault="00FA4330"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Mai mult, CNTEE Transelectrica a dezvoltat un plan de acțiuni în conformitate cu Articolul 15 din Regulamentul (UE) 2019/943 din 5 iunie 2019 privind piața internă de energie electrică care stabilește capacitatea minimă disponibilă pentru comerțul transfrontalier ca fiind minim 70% din capacitatea de transport, </w:t>
      </w:r>
      <w:r w:rsidRPr="007C266E">
        <w:rPr>
          <w:rFonts w:ascii="Times New Roman" w:hAnsi="Times New Roman" w:cs="Times New Roman"/>
          <w:sz w:val="23"/>
          <w:szCs w:val="23"/>
          <w:lang w:val="ro-RO"/>
        </w:rPr>
        <w:lastRenderedPageBreak/>
        <w:t xml:space="preserve">respectând limitele de siguranță în funcționare după considerarea contingențelor. </w:t>
      </w:r>
    </w:p>
    <w:p w14:paraId="130EEFDF" w14:textId="77777777" w:rsidR="008D56B8" w:rsidRPr="007C266E" w:rsidRDefault="00FA4330" w:rsidP="004B4A53">
      <w:pPr>
        <w:spacing w:line="240" w:lineRule="auto"/>
        <w:jc w:val="both"/>
        <w:rPr>
          <w:rFonts w:ascii="Times New Roman" w:eastAsia="Calibri" w:hAnsi="Times New Roman" w:cs="Times New Roman"/>
          <w:color w:val="000000"/>
          <w:sz w:val="23"/>
          <w:szCs w:val="23"/>
          <w:lang w:val="ro-RO"/>
        </w:rPr>
      </w:pPr>
      <w:r w:rsidRPr="007C266E">
        <w:rPr>
          <w:rFonts w:ascii="Times New Roman" w:eastAsia="Calibri" w:hAnsi="Times New Roman" w:cs="Times New Roman"/>
          <w:color w:val="000000"/>
          <w:sz w:val="23"/>
          <w:szCs w:val="23"/>
          <w:lang w:val="ro-RO"/>
        </w:rPr>
        <w:t xml:space="preserve">Prin urmare, având în vedere proiectele incluse în Planul de Dezvoltare a RET 2018 – 2027 și estimările rezultate, România va atinge un grad de interconectare de cel puțin 15,4% din capacitatea totală instalată până în anul 2030.  </w:t>
      </w:r>
      <w:bookmarkStart w:id="63" w:name="_Toc527975448"/>
      <w:bookmarkStart w:id="64" w:name="_Toc527975719"/>
      <w:bookmarkStart w:id="65" w:name="_Toc29499859"/>
      <w:bookmarkStart w:id="66" w:name="_Toc29979508"/>
      <w:bookmarkStart w:id="67" w:name="_Toc29990799"/>
      <w:bookmarkStart w:id="68" w:name="_Toc36811424"/>
    </w:p>
    <w:p w14:paraId="3F14ECEB" w14:textId="77777777" w:rsidR="008D56B8" w:rsidRPr="007C266E" w:rsidRDefault="008D56B8" w:rsidP="004B4A53">
      <w:pPr>
        <w:pStyle w:val="Heading2"/>
        <w:spacing w:line="240" w:lineRule="auto"/>
        <w:rPr>
          <w:rFonts w:ascii="Times New Roman" w:eastAsia="Calibri" w:hAnsi="Times New Roman" w:cs="Times New Roman"/>
          <w:color w:val="000000"/>
          <w:sz w:val="23"/>
          <w:szCs w:val="23"/>
          <w:lang w:val="ro-RO"/>
        </w:rPr>
      </w:pPr>
      <w:bookmarkStart w:id="69" w:name="_Toc44400883"/>
      <w:r w:rsidRPr="007C266E">
        <w:rPr>
          <w:rFonts w:ascii="Times New Roman" w:hAnsi="Times New Roman" w:cs="Times New Roman"/>
          <w:sz w:val="23"/>
          <w:szCs w:val="23"/>
          <w:lang w:val="ro-RO"/>
        </w:rPr>
        <w:t>VI.5. Infrastructura de transport a energiei</w:t>
      </w:r>
      <w:bookmarkEnd w:id="63"/>
      <w:bookmarkEnd w:id="64"/>
      <w:bookmarkEnd w:id="65"/>
      <w:bookmarkEnd w:id="66"/>
      <w:bookmarkEnd w:id="67"/>
      <w:bookmarkEnd w:id="68"/>
      <w:bookmarkEnd w:id="69"/>
    </w:p>
    <w:p w14:paraId="20D1C1F9" w14:textId="77777777" w:rsidR="0018686E" w:rsidRPr="007C266E" w:rsidRDefault="0018686E" w:rsidP="004B4A53">
      <w:pPr>
        <w:spacing w:after="0" w:line="240" w:lineRule="auto"/>
        <w:jc w:val="both"/>
        <w:rPr>
          <w:rFonts w:ascii="Times New Roman" w:hAnsi="Times New Roman" w:cs="Times New Roman"/>
          <w:sz w:val="23"/>
          <w:szCs w:val="23"/>
          <w:lang w:val="ro-RO"/>
        </w:rPr>
      </w:pPr>
    </w:p>
    <w:p w14:paraId="2A0B35B1" w14:textId="77777777" w:rsidR="008D56B8" w:rsidRPr="007C266E" w:rsidRDefault="008D56B8"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Pentru funcționarea optimă a sistemului energetic, se va urmări dezvoltarea sistemelor inteligente de energie, rețele și stocare în afara TEN-E. În acest sens au fost identificate următoarele priorități de investiții:</w:t>
      </w:r>
    </w:p>
    <w:p w14:paraId="0B177EAD" w14:textId="77777777" w:rsidR="008D56B8" w:rsidRPr="007C266E" w:rsidRDefault="008D56B8" w:rsidP="002500F7">
      <w:pPr>
        <w:pStyle w:val="ListParagraph"/>
        <w:numPr>
          <w:ilvl w:val="0"/>
          <w:numId w:val="12"/>
        </w:numPr>
        <w:spacing w:after="24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Digitalizarea sistemului energetic național în segmentele de transport, distribuție și consum și introducerea sistemelor de management inteligent și măsuri de sprijin pentru implementarea pas cu pas a conceptului de oraș inteligent;</w:t>
      </w:r>
    </w:p>
    <w:p w14:paraId="1F636F3E" w14:textId="77777777" w:rsidR="008D56B8" w:rsidRPr="007C266E" w:rsidRDefault="008D56B8" w:rsidP="002500F7">
      <w:pPr>
        <w:pStyle w:val="ListParagraph"/>
        <w:numPr>
          <w:ilvl w:val="0"/>
          <w:numId w:val="12"/>
        </w:numPr>
        <w:spacing w:after="24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Consolidarea </w:t>
      </w:r>
      <w:r w:rsidR="00AC5630" w:rsidRPr="007C266E">
        <w:rPr>
          <w:rFonts w:ascii="Times New Roman" w:hAnsi="Times New Roman" w:cs="Times New Roman"/>
          <w:sz w:val="23"/>
          <w:szCs w:val="23"/>
          <w:lang w:val="ro-RO"/>
        </w:rPr>
        <w:t xml:space="preserve">rețelelor de </w:t>
      </w:r>
      <w:r w:rsidRPr="007C266E">
        <w:rPr>
          <w:rFonts w:ascii="Times New Roman" w:hAnsi="Times New Roman" w:cs="Times New Roman"/>
          <w:sz w:val="23"/>
          <w:szCs w:val="23"/>
          <w:lang w:val="ro-RO"/>
        </w:rPr>
        <w:t xml:space="preserve">transport și distribuție </w:t>
      </w:r>
      <w:r w:rsidR="00AC5630"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 xml:space="preserve"> energie</w:t>
      </w:r>
      <w:r w:rsidR="00AC5630" w:rsidRPr="007C266E">
        <w:rPr>
          <w:rFonts w:ascii="Times New Roman" w:hAnsi="Times New Roman" w:cs="Times New Roman"/>
          <w:sz w:val="23"/>
          <w:szCs w:val="23"/>
          <w:lang w:val="ro-RO"/>
        </w:rPr>
        <w:t>i</w:t>
      </w:r>
      <w:r w:rsidRPr="007C266E">
        <w:rPr>
          <w:rFonts w:ascii="Times New Roman" w:hAnsi="Times New Roman" w:cs="Times New Roman"/>
          <w:sz w:val="23"/>
          <w:szCs w:val="23"/>
          <w:lang w:val="ro-RO"/>
        </w:rPr>
        <w:t xml:space="preserve"> electric</w:t>
      </w:r>
      <w:r w:rsidR="00AC5630"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xml:space="preserve"> cu scopul de a asigura parametrii tehnici necesari de bună interconexiune cu infrastructura energetică transeuropeană;</w:t>
      </w:r>
    </w:p>
    <w:p w14:paraId="44AF606F" w14:textId="77777777" w:rsidR="008D56B8" w:rsidRPr="007C266E" w:rsidRDefault="008D56B8" w:rsidP="002500F7">
      <w:pPr>
        <w:pStyle w:val="ListParagraph"/>
        <w:numPr>
          <w:ilvl w:val="0"/>
          <w:numId w:val="12"/>
        </w:numPr>
        <w:spacing w:after="24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Echipamente şi sisteme inteligente pentru asigurarea calității energiei electrice;</w:t>
      </w:r>
    </w:p>
    <w:p w14:paraId="17136409" w14:textId="77777777" w:rsidR="008D56B8" w:rsidRPr="007C266E" w:rsidRDefault="008D56B8" w:rsidP="002500F7">
      <w:pPr>
        <w:pStyle w:val="ListParagraph"/>
        <w:numPr>
          <w:ilvl w:val="0"/>
          <w:numId w:val="12"/>
        </w:numPr>
        <w:spacing w:after="24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Implementarea  de soluții digitale pentru izolarea defectelor și realimentarea cu energie in mediul rural și urban;</w:t>
      </w:r>
    </w:p>
    <w:p w14:paraId="5DF15B59" w14:textId="77777777" w:rsidR="008D56B8" w:rsidRPr="007C266E" w:rsidRDefault="008D56B8" w:rsidP="002500F7">
      <w:pPr>
        <w:pStyle w:val="ListParagraph"/>
        <w:numPr>
          <w:ilvl w:val="0"/>
          <w:numId w:val="12"/>
        </w:numPr>
        <w:spacing w:after="24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Digitalizarea stațiilor de transformare şi soluții privind controlul rețelei de la distanță - integrare stații în SCADA;</w:t>
      </w:r>
    </w:p>
    <w:p w14:paraId="0F4A5A60" w14:textId="77777777" w:rsidR="008D56B8" w:rsidRPr="007C266E" w:rsidRDefault="008D56B8" w:rsidP="002500F7">
      <w:pPr>
        <w:pStyle w:val="ListParagraph"/>
        <w:numPr>
          <w:ilvl w:val="0"/>
          <w:numId w:val="12"/>
        </w:numPr>
        <w:spacing w:after="24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Implementarea de soluții privind stocarea energiei electrice pentru eficientizarea consumului si remedierea fluctuaților majore de producție;</w:t>
      </w:r>
    </w:p>
    <w:p w14:paraId="3279BDB6" w14:textId="77777777" w:rsidR="008D56B8" w:rsidRPr="007C266E" w:rsidRDefault="008D56B8" w:rsidP="002500F7">
      <w:pPr>
        <w:pStyle w:val="ListParagraph"/>
        <w:numPr>
          <w:ilvl w:val="0"/>
          <w:numId w:val="12"/>
        </w:numPr>
        <w:spacing w:after="24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Creșterea capacității disponibile pentru comerțul transfrontalier;</w:t>
      </w:r>
    </w:p>
    <w:p w14:paraId="036FC8BC" w14:textId="77777777" w:rsidR="008D56B8" w:rsidRPr="007C266E" w:rsidRDefault="008D56B8" w:rsidP="002500F7">
      <w:pPr>
        <w:pStyle w:val="ListParagraph"/>
        <w:numPr>
          <w:ilvl w:val="0"/>
          <w:numId w:val="12"/>
        </w:numPr>
        <w:spacing w:after="240" w:line="240" w:lineRule="auto"/>
        <w:ind w:left="0" w:firstLine="360"/>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Măsuri de creștere a adecvanței rețelei naționale de energie electrică pentru a crește capacitatea de integrare a energiei provenite din surse regenerabile, de natură variabilă.</w:t>
      </w:r>
    </w:p>
    <w:p w14:paraId="72749110" w14:textId="77777777" w:rsidR="008D56B8" w:rsidRPr="007C266E" w:rsidRDefault="008D56B8" w:rsidP="004B4A53">
      <w:pPr>
        <w:pStyle w:val="Heading2"/>
        <w:spacing w:line="240" w:lineRule="auto"/>
        <w:rPr>
          <w:rFonts w:ascii="Times New Roman" w:hAnsi="Times New Roman" w:cs="Times New Roman"/>
          <w:sz w:val="23"/>
          <w:szCs w:val="23"/>
          <w:lang w:val="ro-RO"/>
        </w:rPr>
      </w:pPr>
      <w:bookmarkStart w:id="70" w:name="_Toc44400884"/>
      <w:r w:rsidRPr="007C266E">
        <w:rPr>
          <w:rFonts w:ascii="Times New Roman" w:hAnsi="Times New Roman" w:cs="Times New Roman"/>
          <w:sz w:val="23"/>
          <w:szCs w:val="23"/>
          <w:lang w:val="ro-RO"/>
        </w:rPr>
        <w:lastRenderedPageBreak/>
        <w:t>VI.6. Integrarea pie</w:t>
      </w:r>
      <w:r w:rsidR="00705399"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elor</w:t>
      </w:r>
      <w:bookmarkEnd w:id="70"/>
    </w:p>
    <w:p w14:paraId="7CEDF890" w14:textId="77777777" w:rsidR="009D6F52" w:rsidRPr="007C266E" w:rsidRDefault="009D6F52" w:rsidP="004B4A53">
      <w:pPr>
        <w:spacing w:after="0" w:line="240" w:lineRule="auto"/>
        <w:jc w:val="both"/>
        <w:rPr>
          <w:rFonts w:ascii="Times New Roman" w:hAnsi="Times New Roman" w:cs="Times New Roman"/>
          <w:sz w:val="23"/>
          <w:szCs w:val="23"/>
          <w:lang w:val="ro-RO"/>
        </w:rPr>
      </w:pPr>
    </w:p>
    <w:p w14:paraId="50659FED" w14:textId="77777777" w:rsidR="008D56B8" w:rsidRPr="007C266E" w:rsidRDefault="008D56B8"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România urmărește să de-reglementeze piețele interne de energie electrică și gaze naturale, astfel încât să se armonizeze cu acquis-ul comunitar. Calendarul propune o liberalizare etapizată astfel încât impactul tranziției asupra consumatorului să fie cât mai redus. De asemenea, prin măsurile de liberalizare se urmărește dezvoltarea unui cadru legislativ favorabil investițiilor care vor contribui la asigurarea securității energetice, sporind de asemenea și flexibilitatea sistemului energetic national.</w:t>
      </w:r>
    </w:p>
    <w:p w14:paraId="65B52B6D" w14:textId="77777777" w:rsidR="008D56B8" w:rsidRPr="007C266E" w:rsidRDefault="008D56B8"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Prin urmare, România își propune să finalizeze procesul de liberalizare a pieței de energie electrică la sfârșitul anului 2020, respectiv a pieței de gaze naturale până la </w:t>
      </w:r>
      <w:r w:rsidRPr="00BB5DB4">
        <w:rPr>
          <w:rFonts w:ascii="Times New Roman" w:hAnsi="Times New Roman" w:cs="Times New Roman"/>
          <w:sz w:val="23"/>
          <w:szCs w:val="23"/>
          <w:lang w:val="ro-RO"/>
        </w:rPr>
        <w:t>30 iunie 2020.</w:t>
      </w:r>
      <w:r w:rsidRPr="007C266E">
        <w:rPr>
          <w:rFonts w:ascii="Times New Roman" w:hAnsi="Times New Roman" w:cs="Times New Roman"/>
          <w:sz w:val="23"/>
          <w:szCs w:val="23"/>
          <w:lang w:val="ro-RO"/>
        </w:rPr>
        <w:t xml:space="preserve"> </w:t>
      </w:r>
    </w:p>
    <w:p w14:paraId="53C68B1C" w14:textId="77777777" w:rsidR="00F34EF2" w:rsidRPr="007C266E" w:rsidRDefault="00F34EF2" w:rsidP="004B4A53">
      <w:pPr>
        <w:pStyle w:val="Heading5"/>
        <w:spacing w:before="0" w:line="240" w:lineRule="auto"/>
        <w:rPr>
          <w:rFonts w:ascii="Times New Roman" w:hAnsi="Times New Roman" w:cs="Times New Roman"/>
          <w:i/>
          <w:color w:val="auto"/>
          <w:sz w:val="23"/>
          <w:szCs w:val="23"/>
          <w:lang w:val="ro-RO"/>
        </w:rPr>
      </w:pPr>
    </w:p>
    <w:p w14:paraId="724FD6C0" w14:textId="77777777" w:rsidR="008D56B8" w:rsidRPr="007C266E" w:rsidRDefault="008D56B8" w:rsidP="004B4A53">
      <w:pPr>
        <w:pStyle w:val="Heading5"/>
        <w:spacing w:before="0" w:line="240" w:lineRule="auto"/>
        <w:rPr>
          <w:rFonts w:ascii="Times New Roman" w:hAnsi="Times New Roman" w:cs="Times New Roman"/>
          <w:i/>
          <w:color w:val="auto"/>
          <w:sz w:val="23"/>
          <w:szCs w:val="23"/>
          <w:lang w:val="ro-RO"/>
        </w:rPr>
      </w:pPr>
      <w:r w:rsidRPr="007C266E">
        <w:rPr>
          <w:rFonts w:ascii="Times New Roman" w:hAnsi="Times New Roman" w:cs="Times New Roman"/>
          <w:i/>
          <w:color w:val="auto"/>
          <w:sz w:val="23"/>
          <w:szCs w:val="23"/>
          <w:lang w:val="ro-RO"/>
        </w:rPr>
        <w:t>Integrarea și cuplarea piețelor</w:t>
      </w:r>
    </w:p>
    <w:p w14:paraId="617EAD2D" w14:textId="77777777" w:rsidR="00F34EF2" w:rsidRPr="007C266E" w:rsidRDefault="00F34EF2" w:rsidP="004B4A53">
      <w:pPr>
        <w:spacing w:line="240" w:lineRule="auto"/>
        <w:jc w:val="both"/>
        <w:rPr>
          <w:rFonts w:ascii="Times New Roman" w:hAnsi="Times New Roman" w:cs="Times New Roman"/>
          <w:sz w:val="23"/>
          <w:szCs w:val="23"/>
          <w:lang w:val="ro-RO"/>
        </w:rPr>
      </w:pPr>
    </w:p>
    <w:p w14:paraId="7BEE8200" w14:textId="77777777" w:rsidR="008D56B8" w:rsidRPr="007C266E" w:rsidRDefault="008D56B8"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Urmărind îndeplinirea obiectivului prioritar de integrare în piața internă, România va continua procesul de integrare a piețelor de energie electrică pentru ziua următoare și intra-zilnică în cadrul cuplării unice a piețelor de energie electrică (pan-European Single Day-Ahead Coupling, SDAC), respectiv Single Intra-Day Coupling, SIDC), având în vedere metodologia de alocare implicită a capacităților trans-frontaliere “flow based” aplicabilă regiunii CORE (termen de implementare: conform foilor de parcurs ale proiectelor de punere în aplicare ale prevederilor regulamentelor europene cu relevanță) din care face parte și fără a exclude implementarea timpurie a cuplării unice a piețelor de energie electrică pe baza de NTC. </w:t>
      </w:r>
    </w:p>
    <w:p w14:paraId="07FE3CC1" w14:textId="77777777" w:rsidR="008D56B8" w:rsidRPr="007C266E" w:rsidRDefault="008D56B8"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La nivel regional, o acțiune strategică a României rămâne integrarea în cuplarea unică a piețelor pentru ziua următoare și a piețelor intra zilnice (SDAC și SIDC), în calitate de stat membru, abordare care derivă din </w:t>
      </w:r>
      <w:r w:rsidRPr="007C266E">
        <w:rPr>
          <w:rFonts w:ascii="Times New Roman" w:hAnsi="Times New Roman" w:cs="Times New Roman"/>
          <w:sz w:val="23"/>
          <w:szCs w:val="23"/>
          <w:lang w:val="ro-RO"/>
        </w:rPr>
        <w:lastRenderedPageBreak/>
        <w:t xml:space="preserve">necesitatea conformării la regulamentele europene. </w:t>
      </w:r>
    </w:p>
    <w:p w14:paraId="3F6D6A3E" w14:textId="77777777" w:rsidR="008D56B8" w:rsidRPr="007C266E" w:rsidRDefault="008D56B8"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De asemenea, România va continua colaborarea cu părțile contractante din cadrul Comunității Energiei în contextul aderării acestora la SDAC și SIDC, proces care va depinde însă de evoluția procesului de stabilire a mecanismelor de piață în zona balcanică. </w:t>
      </w:r>
    </w:p>
    <w:p w14:paraId="639193DA" w14:textId="77777777" w:rsidR="008D56B8" w:rsidRPr="007C266E" w:rsidRDefault="008D56B8" w:rsidP="004B4A53">
      <w:pPr>
        <w:pStyle w:val="Heading5"/>
        <w:spacing w:before="0" w:line="240" w:lineRule="auto"/>
        <w:rPr>
          <w:rFonts w:ascii="Times New Roman" w:hAnsi="Times New Roman" w:cs="Times New Roman"/>
          <w:i/>
          <w:color w:val="auto"/>
          <w:sz w:val="23"/>
          <w:szCs w:val="23"/>
          <w:lang w:val="ro-RO"/>
        </w:rPr>
      </w:pPr>
      <w:r w:rsidRPr="007C266E">
        <w:rPr>
          <w:rFonts w:ascii="Times New Roman" w:hAnsi="Times New Roman" w:cs="Times New Roman"/>
          <w:i/>
          <w:color w:val="auto"/>
          <w:sz w:val="23"/>
          <w:szCs w:val="23"/>
          <w:lang w:val="ro-RO"/>
        </w:rPr>
        <w:t>Rețele inteligente</w:t>
      </w:r>
    </w:p>
    <w:p w14:paraId="62E20F66" w14:textId="77777777" w:rsidR="008D56B8" w:rsidRPr="007C266E" w:rsidRDefault="008D56B8"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Digitalizarea sistemului energetic românesc, inclusiv a rețelelor de transport și distribuție (“smart grids”) joacă un rol important în reducerea consumului propriu tehnologic (CPT), dar și în transformarea pieței de energie românești într-o piață “fit-for-RES” (prin creșterea posibilităților de integrare a producției suplimentare de energie electrică din surse regenerabile). Pentru a atinge acest obiectiv, România urmărește implementarea conceptului de rețele inteligente, inclusiv prin introducerea pe scară largă a contoarelor inteligente.</w:t>
      </w:r>
    </w:p>
    <w:p w14:paraId="1575A9E7" w14:textId="77777777" w:rsidR="009D6F52" w:rsidRPr="007C266E" w:rsidRDefault="008D56B8"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Introducerea sistemelor de măsurare inteligente în sectorul energetic reprezintă o prioritate națională, ca prim pas în digitalizarea infrastructurii. Contorizarea inteligentă este recunoscută pentru beneficiile pe care le aduce consumatorilor finali, companiilor de utilități și întregului sistem energetic, inclusiv beneficii asupra mediului, prin creșterea eficienței energetice și integrarea SRE în SEN. </w:t>
      </w:r>
      <w:bookmarkStart w:id="71" w:name="_Toc527975455"/>
      <w:bookmarkStart w:id="72" w:name="_Toc527975721"/>
      <w:bookmarkStart w:id="73" w:name="_Toc29499872"/>
      <w:bookmarkStart w:id="74" w:name="_Toc29979510"/>
      <w:bookmarkStart w:id="75" w:name="_Toc29990801"/>
      <w:bookmarkStart w:id="76" w:name="_Toc36811426"/>
    </w:p>
    <w:p w14:paraId="5E03C155" w14:textId="77777777" w:rsidR="009D6F52" w:rsidRPr="007C266E" w:rsidRDefault="009D6F52" w:rsidP="004B4A53">
      <w:pPr>
        <w:pStyle w:val="Heading2"/>
        <w:spacing w:line="240" w:lineRule="auto"/>
        <w:rPr>
          <w:rFonts w:ascii="Times New Roman" w:hAnsi="Times New Roman" w:cs="Times New Roman"/>
          <w:sz w:val="23"/>
          <w:szCs w:val="23"/>
          <w:lang w:val="ro-RO"/>
        </w:rPr>
      </w:pPr>
      <w:bookmarkStart w:id="77" w:name="_Toc44400885"/>
      <w:r w:rsidRPr="007C266E">
        <w:rPr>
          <w:rFonts w:ascii="Times New Roman" w:hAnsi="Times New Roman" w:cs="Times New Roman"/>
          <w:sz w:val="23"/>
          <w:szCs w:val="23"/>
          <w:lang w:val="ro-RO"/>
        </w:rPr>
        <w:t>VI.7. Sărăcia energetică</w:t>
      </w:r>
      <w:bookmarkEnd w:id="71"/>
      <w:bookmarkEnd w:id="72"/>
      <w:bookmarkEnd w:id="73"/>
      <w:bookmarkEnd w:id="74"/>
      <w:bookmarkEnd w:id="75"/>
      <w:bookmarkEnd w:id="76"/>
      <w:bookmarkEnd w:id="77"/>
    </w:p>
    <w:p w14:paraId="511CBF7B" w14:textId="77777777" w:rsidR="0018686E" w:rsidRPr="007C266E" w:rsidRDefault="0018686E" w:rsidP="004B4A53">
      <w:pPr>
        <w:spacing w:after="0" w:line="240" w:lineRule="auto"/>
        <w:rPr>
          <w:rFonts w:ascii="Times New Roman" w:hAnsi="Times New Roman" w:cs="Times New Roman"/>
          <w:sz w:val="23"/>
          <w:szCs w:val="23"/>
          <w:lang w:val="ro-RO"/>
        </w:rPr>
      </w:pPr>
    </w:p>
    <w:p w14:paraId="56EAB736" w14:textId="77777777" w:rsidR="009D6F52" w:rsidRPr="007C266E" w:rsidRDefault="009D6F52"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Potrivit recomandărilor Comisiei Europene, România ar trebui să-și definească obiectivele în ceea ce privește sărăcia energetică în conformitate cu specificul național. Țările membre care au un număr semnificativ al gospodăriilor aflate în sărăcie energetică trebuie să includă în planurile lor naționale integrate de energie și schimbări climatice un obiectiv indicativ pentru reducerea sărăciei energetice. </w:t>
      </w:r>
    </w:p>
    <w:p w14:paraId="0583712E" w14:textId="77777777" w:rsidR="009D6F52" w:rsidRPr="007C266E" w:rsidRDefault="009D6F52"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Potrivit datelor Eurostat pentru 2019, România se regăsește în treimea inferioară a valorii prețului la energia electrică pentru consumatorii casnici din UE. Totuși, dată fiind puterea relativ scăzută de cumpărare, suportabilitatea prețului este o problemă de prim ordin, care duce la un nivel ridicat de sărăcie energetică.</w:t>
      </w:r>
    </w:p>
    <w:p w14:paraId="1E99AE08" w14:textId="77777777" w:rsidR="009D6F52" w:rsidRPr="007C266E" w:rsidRDefault="009D6F52"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Pentru a măsura cât mai precis nivelul sărăciei energetice la nivelul țărilor membre UE, Observatorul UE pentru Sărăcia Energetică prevede utilizarea unor indicatori principali, iar sursa valorilor este dată de bazele de date Eurostat. Indicatorii pentru care există date suficiente la nivelul țării și al UE sunt</w:t>
      </w:r>
      <w:r w:rsidR="009C2320"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procentul restanțelor la facturile de utilități și imposibilitatea de a încălzi gospodăria la un nivel adecvat.</w:t>
      </w:r>
    </w:p>
    <w:p w14:paraId="08B624DA" w14:textId="77777777" w:rsidR="009D6F52" w:rsidRPr="007C266E" w:rsidRDefault="009D6F52" w:rsidP="004B4A53">
      <w:pPr>
        <w:spacing w:after="12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La nivelul României, 14,4% din gospodării au avut restanțe la facturile de utilități în 2018. În comparație, media Uniunii Europene se afla la 6,6% în același an. Evoluția indicatorului la nivelul României și al UE pentru perioada 2010 - 2018 se regăsește în tabelul de mai jos.</w:t>
      </w:r>
    </w:p>
    <w:p w14:paraId="4EB07EA9" w14:textId="77777777" w:rsidR="009D6F52" w:rsidRPr="007C266E" w:rsidRDefault="009D6F52" w:rsidP="006E1D2D">
      <w:pPr>
        <w:pStyle w:val="Caption"/>
        <w:spacing w:after="120"/>
        <w:jc w:val="both"/>
        <w:rPr>
          <w:rFonts w:ascii="Times New Roman" w:hAnsi="Times New Roman" w:cs="Times New Roman"/>
          <w:sz w:val="23"/>
          <w:szCs w:val="23"/>
          <w:lang w:val="ro-RO"/>
        </w:rPr>
      </w:pPr>
      <w:bookmarkStart w:id="78" w:name="_Toc29979458"/>
      <w:bookmarkStart w:id="79" w:name="_Toc29990749"/>
      <w:bookmarkStart w:id="80" w:name="_Toc29223878"/>
      <w:bookmarkStart w:id="81" w:name="_Toc29228072"/>
      <w:bookmarkStart w:id="82" w:name="_Toc29499756"/>
      <w:bookmarkStart w:id="83" w:name="_Toc36050694"/>
      <w:r w:rsidRPr="007C266E">
        <w:rPr>
          <w:rFonts w:ascii="Times New Roman" w:hAnsi="Times New Roman" w:cs="Times New Roman"/>
          <w:sz w:val="23"/>
          <w:szCs w:val="23"/>
          <w:lang w:val="ro-RO"/>
        </w:rPr>
        <w:t xml:space="preserve"> - Restanțe la facturile de utilități [%], 2010 - 2018</w:t>
      </w:r>
      <w:bookmarkEnd w:id="78"/>
      <w:bookmarkEnd w:id="79"/>
      <w:bookmarkEnd w:id="80"/>
      <w:bookmarkEnd w:id="81"/>
      <w:bookmarkEnd w:id="82"/>
      <w:bookmarkEnd w:id="83"/>
    </w:p>
    <w:tbl>
      <w:tblPr>
        <w:tblStyle w:val="GridTable2-Accent11"/>
        <w:tblW w:w="0" w:type="auto"/>
        <w:tblLook w:val="04A0" w:firstRow="1" w:lastRow="0" w:firstColumn="1" w:lastColumn="0" w:noHBand="0" w:noVBand="1"/>
      </w:tblPr>
      <w:tblGrid>
        <w:gridCol w:w="639"/>
        <w:gridCol w:w="433"/>
        <w:gridCol w:w="433"/>
        <w:gridCol w:w="433"/>
        <w:gridCol w:w="433"/>
        <w:gridCol w:w="433"/>
        <w:gridCol w:w="433"/>
        <w:gridCol w:w="433"/>
        <w:gridCol w:w="433"/>
        <w:gridCol w:w="433"/>
      </w:tblGrid>
      <w:tr w:rsidR="009D6F52" w:rsidRPr="007C266E" w14:paraId="3E663CFA" w14:textId="77777777" w:rsidTr="00732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14:paraId="63F7ED76" w14:textId="77777777" w:rsidR="009D6F52" w:rsidRPr="007C266E" w:rsidRDefault="009D6F52" w:rsidP="00A86877">
            <w:pPr>
              <w:rPr>
                <w:rFonts w:ascii="Times New Roman" w:hAnsi="Times New Roman" w:cs="Times New Roman"/>
                <w:sz w:val="23"/>
                <w:szCs w:val="23"/>
                <w:lang w:val="ro-RO"/>
              </w:rPr>
            </w:pPr>
          </w:p>
        </w:tc>
        <w:tc>
          <w:tcPr>
            <w:tcW w:w="892" w:type="dxa"/>
            <w:vAlign w:val="center"/>
          </w:tcPr>
          <w:p w14:paraId="395DC06D" w14:textId="77777777" w:rsidR="009D6F52" w:rsidRPr="007C266E" w:rsidRDefault="009D6F52" w:rsidP="00A868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2010</w:t>
            </w:r>
          </w:p>
        </w:tc>
        <w:tc>
          <w:tcPr>
            <w:tcW w:w="893" w:type="dxa"/>
            <w:vAlign w:val="center"/>
          </w:tcPr>
          <w:p w14:paraId="5CABF967"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2011</w:t>
            </w:r>
          </w:p>
        </w:tc>
        <w:tc>
          <w:tcPr>
            <w:tcW w:w="892" w:type="dxa"/>
            <w:vAlign w:val="center"/>
          </w:tcPr>
          <w:p w14:paraId="4C8BBC29"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2012</w:t>
            </w:r>
          </w:p>
        </w:tc>
        <w:tc>
          <w:tcPr>
            <w:tcW w:w="893" w:type="dxa"/>
            <w:vAlign w:val="center"/>
          </w:tcPr>
          <w:p w14:paraId="27BE3F45"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2013</w:t>
            </w:r>
          </w:p>
        </w:tc>
        <w:tc>
          <w:tcPr>
            <w:tcW w:w="892" w:type="dxa"/>
            <w:vAlign w:val="center"/>
          </w:tcPr>
          <w:p w14:paraId="488E13C1"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2014</w:t>
            </w:r>
          </w:p>
        </w:tc>
        <w:tc>
          <w:tcPr>
            <w:tcW w:w="893" w:type="dxa"/>
            <w:vAlign w:val="center"/>
          </w:tcPr>
          <w:p w14:paraId="0D98BD37"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2015</w:t>
            </w:r>
          </w:p>
        </w:tc>
        <w:tc>
          <w:tcPr>
            <w:tcW w:w="893" w:type="dxa"/>
            <w:vAlign w:val="center"/>
          </w:tcPr>
          <w:p w14:paraId="379FA240"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2016</w:t>
            </w:r>
          </w:p>
        </w:tc>
        <w:tc>
          <w:tcPr>
            <w:tcW w:w="635" w:type="dxa"/>
            <w:vAlign w:val="center"/>
          </w:tcPr>
          <w:p w14:paraId="02203EBB"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2017</w:t>
            </w:r>
          </w:p>
        </w:tc>
        <w:tc>
          <w:tcPr>
            <w:tcW w:w="635" w:type="dxa"/>
            <w:vAlign w:val="center"/>
          </w:tcPr>
          <w:p w14:paraId="2A13385E"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2018</w:t>
            </w:r>
          </w:p>
        </w:tc>
      </w:tr>
      <w:tr w:rsidR="009D6F52" w:rsidRPr="007C266E" w14:paraId="40BC156B" w14:textId="77777777" w:rsidTr="007327E2">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93" w:type="dxa"/>
            <w:shd w:val="clear" w:color="auto" w:fill="FFFFFF" w:themeFill="background1"/>
            <w:vAlign w:val="center"/>
          </w:tcPr>
          <w:p w14:paraId="733E1098" w14:textId="77777777" w:rsidR="009D6F52" w:rsidRPr="007C266E" w:rsidRDefault="009D6F52" w:rsidP="006E1D2D">
            <w:pPr>
              <w:rPr>
                <w:rFonts w:ascii="Times New Roman" w:hAnsi="Times New Roman" w:cs="Times New Roman"/>
                <w:sz w:val="23"/>
                <w:szCs w:val="23"/>
                <w:lang w:val="ro-RO"/>
              </w:rPr>
            </w:pPr>
            <w:r w:rsidRPr="007C266E">
              <w:rPr>
                <w:rFonts w:ascii="Times New Roman" w:hAnsi="Times New Roman" w:cs="Times New Roman"/>
                <w:sz w:val="23"/>
                <w:szCs w:val="23"/>
                <w:lang w:val="ro-RO"/>
              </w:rPr>
              <w:t>Media UE</w:t>
            </w:r>
          </w:p>
        </w:tc>
        <w:tc>
          <w:tcPr>
            <w:tcW w:w="892" w:type="dxa"/>
            <w:shd w:val="clear" w:color="auto" w:fill="FFFFFF" w:themeFill="background1"/>
            <w:vAlign w:val="center"/>
          </w:tcPr>
          <w:p w14:paraId="2F0F85E4" w14:textId="77777777" w:rsidR="009D6F52" w:rsidRPr="007C266E" w:rsidRDefault="009D6F52" w:rsidP="00A86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9,1</w:t>
            </w:r>
          </w:p>
        </w:tc>
        <w:tc>
          <w:tcPr>
            <w:tcW w:w="893" w:type="dxa"/>
            <w:shd w:val="clear" w:color="auto" w:fill="FFFFFF" w:themeFill="background1"/>
            <w:vAlign w:val="center"/>
          </w:tcPr>
          <w:p w14:paraId="01903A3F" w14:textId="77777777" w:rsidR="009D6F52" w:rsidRPr="007C266E" w:rsidRDefault="009D6F52" w:rsidP="00A86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9,0</w:t>
            </w:r>
          </w:p>
        </w:tc>
        <w:tc>
          <w:tcPr>
            <w:tcW w:w="892" w:type="dxa"/>
            <w:shd w:val="clear" w:color="auto" w:fill="FFFFFF" w:themeFill="background1"/>
            <w:vAlign w:val="center"/>
          </w:tcPr>
          <w:p w14:paraId="15174221"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9,9</w:t>
            </w:r>
          </w:p>
        </w:tc>
        <w:tc>
          <w:tcPr>
            <w:tcW w:w="893" w:type="dxa"/>
            <w:shd w:val="clear" w:color="auto" w:fill="FFFFFF" w:themeFill="background1"/>
            <w:vAlign w:val="center"/>
          </w:tcPr>
          <w:p w14:paraId="3850AB28"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10,2</w:t>
            </w:r>
          </w:p>
        </w:tc>
        <w:tc>
          <w:tcPr>
            <w:tcW w:w="892" w:type="dxa"/>
            <w:shd w:val="clear" w:color="auto" w:fill="FFFFFF" w:themeFill="background1"/>
            <w:vAlign w:val="center"/>
          </w:tcPr>
          <w:p w14:paraId="09C2E13C"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9,9</w:t>
            </w:r>
          </w:p>
        </w:tc>
        <w:tc>
          <w:tcPr>
            <w:tcW w:w="893" w:type="dxa"/>
            <w:shd w:val="clear" w:color="auto" w:fill="FFFFFF" w:themeFill="background1"/>
            <w:vAlign w:val="center"/>
          </w:tcPr>
          <w:p w14:paraId="14475F5D"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9,1</w:t>
            </w:r>
          </w:p>
        </w:tc>
        <w:tc>
          <w:tcPr>
            <w:tcW w:w="893" w:type="dxa"/>
            <w:shd w:val="clear" w:color="auto" w:fill="FFFFFF" w:themeFill="background1"/>
            <w:vAlign w:val="center"/>
          </w:tcPr>
          <w:p w14:paraId="11223ED7"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8,1</w:t>
            </w:r>
          </w:p>
        </w:tc>
        <w:tc>
          <w:tcPr>
            <w:tcW w:w="635" w:type="dxa"/>
            <w:shd w:val="clear" w:color="auto" w:fill="FFFFFF" w:themeFill="background1"/>
            <w:vAlign w:val="center"/>
          </w:tcPr>
          <w:p w14:paraId="69D17F97"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7,0</w:t>
            </w:r>
          </w:p>
        </w:tc>
        <w:tc>
          <w:tcPr>
            <w:tcW w:w="635" w:type="dxa"/>
            <w:shd w:val="clear" w:color="auto" w:fill="FFFFFF" w:themeFill="background1"/>
            <w:vAlign w:val="center"/>
          </w:tcPr>
          <w:p w14:paraId="2518BA9E"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6,6</w:t>
            </w:r>
          </w:p>
        </w:tc>
      </w:tr>
      <w:tr w:rsidR="009D6F52" w:rsidRPr="007C266E" w14:paraId="693C3D22" w14:textId="77777777" w:rsidTr="007327E2">
        <w:trPr>
          <w:trHeight w:val="346"/>
        </w:trPr>
        <w:tc>
          <w:tcPr>
            <w:cnfStyle w:val="001000000000" w:firstRow="0" w:lastRow="0" w:firstColumn="1" w:lastColumn="0" w:oddVBand="0" w:evenVBand="0" w:oddHBand="0" w:evenHBand="0" w:firstRowFirstColumn="0" w:firstRowLastColumn="0" w:lastRowFirstColumn="0" w:lastRowLastColumn="0"/>
            <w:tcW w:w="893" w:type="dxa"/>
            <w:shd w:val="clear" w:color="auto" w:fill="DBE5F1" w:themeFill="accent1" w:themeFillTint="33"/>
            <w:vAlign w:val="center"/>
          </w:tcPr>
          <w:p w14:paraId="0A8E716E" w14:textId="77777777" w:rsidR="009D6F52" w:rsidRPr="007C266E" w:rsidRDefault="009D6F52" w:rsidP="006E1D2D">
            <w:pPr>
              <w:rPr>
                <w:rFonts w:ascii="Times New Roman" w:hAnsi="Times New Roman" w:cs="Times New Roman"/>
                <w:sz w:val="23"/>
                <w:szCs w:val="23"/>
                <w:lang w:val="ro-RO"/>
              </w:rPr>
            </w:pPr>
            <w:r w:rsidRPr="007C266E">
              <w:rPr>
                <w:rFonts w:ascii="Times New Roman" w:hAnsi="Times New Roman" w:cs="Times New Roman"/>
                <w:sz w:val="23"/>
                <w:szCs w:val="23"/>
                <w:lang w:val="ro-RO"/>
              </w:rPr>
              <w:t>România</w:t>
            </w:r>
          </w:p>
        </w:tc>
        <w:tc>
          <w:tcPr>
            <w:tcW w:w="892" w:type="dxa"/>
            <w:shd w:val="clear" w:color="auto" w:fill="DBE5F1" w:themeFill="accent1" w:themeFillTint="33"/>
            <w:vAlign w:val="center"/>
          </w:tcPr>
          <w:p w14:paraId="15A24E59" w14:textId="77777777" w:rsidR="009D6F52" w:rsidRPr="007C266E" w:rsidRDefault="009D6F52" w:rsidP="00A86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26,5</w:t>
            </w:r>
          </w:p>
        </w:tc>
        <w:tc>
          <w:tcPr>
            <w:tcW w:w="893" w:type="dxa"/>
            <w:shd w:val="clear" w:color="auto" w:fill="DBE5F1" w:themeFill="accent1" w:themeFillTint="33"/>
            <w:vAlign w:val="center"/>
          </w:tcPr>
          <w:p w14:paraId="0EA46774" w14:textId="77777777" w:rsidR="009D6F52" w:rsidRPr="007C266E" w:rsidRDefault="009D6F52" w:rsidP="00A86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27,3</w:t>
            </w:r>
          </w:p>
        </w:tc>
        <w:tc>
          <w:tcPr>
            <w:tcW w:w="892" w:type="dxa"/>
            <w:shd w:val="clear" w:color="auto" w:fill="DBE5F1" w:themeFill="accent1" w:themeFillTint="33"/>
            <w:vAlign w:val="center"/>
          </w:tcPr>
          <w:p w14:paraId="54218CAE"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29,7</w:t>
            </w:r>
          </w:p>
        </w:tc>
        <w:tc>
          <w:tcPr>
            <w:tcW w:w="893" w:type="dxa"/>
            <w:shd w:val="clear" w:color="auto" w:fill="DBE5F1" w:themeFill="accent1" w:themeFillTint="33"/>
            <w:vAlign w:val="center"/>
          </w:tcPr>
          <w:p w14:paraId="261ECA40"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29,7</w:t>
            </w:r>
          </w:p>
        </w:tc>
        <w:tc>
          <w:tcPr>
            <w:tcW w:w="892" w:type="dxa"/>
            <w:shd w:val="clear" w:color="auto" w:fill="DBE5F1" w:themeFill="accent1" w:themeFillTint="33"/>
            <w:vAlign w:val="center"/>
          </w:tcPr>
          <w:p w14:paraId="0641C754"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21,5</w:t>
            </w:r>
          </w:p>
        </w:tc>
        <w:tc>
          <w:tcPr>
            <w:tcW w:w="893" w:type="dxa"/>
            <w:shd w:val="clear" w:color="auto" w:fill="DBE5F1" w:themeFill="accent1" w:themeFillTint="33"/>
            <w:vAlign w:val="center"/>
          </w:tcPr>
          <w:p w14:paraId="24889F55"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17,4</w:t>
            </w:r>
          </w:p>
        </w:tc>
        <w:tc>
          <w:tcPr>
            <w:tcW w:w="893" w:type="dxa"/>
            <w:shd w:val="clear" w:color="auto" w:fill="DBE5F1" w:themeFill="accent1" w:themeFillTint="33"/>
            <w:vAlign w:val="center"/>
          </w:tcPr>
          <w:p w14:paraId="2855541A"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18,0</w:t>
            </w:r>
          </w:p>
        </w:tc>
        <w:tc>
          <w:tcPr>
            <w:tcW w:w="635" w:type="dxa"/>
            <w:shd w:val="clear" w:color="auto" w:fill="DBE5F1" w:themeFill="accent1" w:themeFillTint="33"/>
            <w:vAlign w:val="center"/>
          </w:tcPr>
          <w:p w14:paraId="6C882336"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15,9</w:t>
            </w:r>
          </w:p>
        </w:tc>
        <w:tc>
          <w:tcPr>
            <w:tcW w:w="635" w:type="dxa"/>
            <w:shd w:val="clear" w:color="auto" w:fill="DBE5F1" w:themeFill="accent1" w:themeFillTint="33"/>
            <w:vAlign w:val="center"/>
          </w:tcPr>
          <w:p w14:paraId="3DBBD08B"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14,4</w:t>
            </w:r>
          </w:p>
        </w:tc>
      </w:tr>
    </w:tbl>
    <w:p w14:paraId="47023CFC" w14:textId="77777777" w:rsidR="009D6F52" w:rsidRPr="007C266E" w:rsidRDefault="009D6F52" w:rsidP="004B4A53">
      <w:pPr>
        <w:spacing w:after="120" w:line="240" w:lineRule="auto"/>
        <w:jc w:val="both"/>
        <w:rPr>
          <w:rFonts w:ascii="Times New Roman" w:hAnsi="Times New Roman" w:cs="Times New Roman"/>
          <w:i/>
          <w:sz w:val="23"/>
          <w:szCs w:val="23"/>
          <w:lang w:val="ro-RO"/>
        </w:rPr>
      </w:pPr>
      <w:r w:rsidRPr="007C266E">
        <w:rPr>
          <w:rFonts w:ascii="Times New Roman" w:hAnsi="Times New Roman" w:cs="Times New Roman"/>
          <w:sz w:val="23"/>
          <w:szCs w:val="23"/>
          <w:lang w:val="ro-RO"/>
        </w:rPr>
        <w:t>S</w:t>
      </w:r>
      <w:r w:rsidRPr="007C266E">
        <w:rPr>
          <w:rFonts w:ascii="Times New Roman" w:hAnsi="Times New Roman" w:cs="Times New Roman"/>
          <w:i/>
          <w:sz w:val="23"/>
          <w:szCs w:val="23"/>
          <w:lang w:val="ro-RO"/>
        </w:rPr>
        <w:t>ursă: Eurostat, Arrears on utility bills - EU-SILC survey [ilc_mdes01]</w:t>
      </w:r>
    </w:p>
    <w:p w14:paraId="3BEA5E26" w14:textId="77777777" w:rsidR="009D6F52" w:rsidRPr="007C266E" w:rsidRDefault="009D6F52" w:rsidP="004B4A53">
      <w:pPr>
        <w:spacing w:after="12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Imposibilitatea de a încălzi gospodăria la un nivel adecvat este un alt indicator care cuantifică ponderea gospodăriilor care nu au această capacitate, bazându-se pe întrebarea “Vă permiteți să vă încălziți locuința la un nivel adecvat?”. Evoluția indicatorului la nivelul României și al UE pentru perioada 2010-2018 poate fi consultat în tabelul de mai jos.</w:t>
      </w:r>
    </w:p>
    <w:p w14:paraId="292AA00A" w14:textId="2203C66D" w:rsidR="009D6F52" w:rsidRPr="007C266E" w:rsidRDefault="009D6F52" w:rsidP="006E1D2D">
      <w:pPr>
        <w:pStyle w:val="Caption"/>
        <w:spacing w:after="120"/>
        <w:jc w:val="both"/>
        <w:rPr>
          <w:rFonts w:ascii="Times New Roman" w:hAnsi="Times New Roman" w:cs="Times New Roman"/>
          <w:sz w:val="23"/>
          <w:szCs w:val="23"/>
          <w:lang w:val="ro-RO"/>
        </w:rPr>
      </w:pPr>
      <w:bookmarkStart w:id="84" w:name="_Toc29979459"/>
      <w:bookmarkStart w:id="85" w:name="_Toc29990750"/>
      <w:bookmarkStart w:id="86" w:name="_Toc29223879"/>
      <w:bookmarkStart w:id="87" w:name="_Toc29228073"/>
      <w:bookmarkStart w:id="88" w:name="_Toc29499757"/>
      <w:bookmarkStart w:id="89" w:name="_Toc36050695"/>
      <w:r w:rsidRPr="007C266E">
        <w:rPr>
          <w:rFonts w:ascii="Times New Roman" w:hAnsi="Times New Roman" w:cs="Times New Roman"/>
          <w:sz w:val="23"/>
          <w:szCs w:val="23"/>
          <w:lang w:val="ro-RO"/>
        </w:rPr>
        <w:t xml:space="preserve"> Imposibilitatea de a încălzi gospodăria la un nivel adecvat [%], 2010-2018</w:t>
      </w:r>
      <w:bookmarkEnd w:id="84"/>
      <w:bookmarkEnd w:id="85"/>
      <w:bookmarkEnd w:id="86"/>
      <w:bookmarkEnd w:id="87"/>
      <w:bookmarkEnd w:id="88"/>
      <w:bookmarkEnd w:id="89"/>
    </w:p>
    <w:tbl>
      <w:tblPr>
        <w:tblStyle w:val="GridTable2-Accent11"/>
        <w:tblW w:w="0" w:type="auto"/>
        <w:tblLook w:val="04A0" w:firstRow="1" w:lastRow="0" w:firstColumn="1" w:lastColumn="0" w:noHBand="0" w:noVBand="1"/>
      </w:tblPr>
      <w:tblGrid>
        <w:gridCol w:w="639"/>
        <w:gridCol w:w="433"/>
        <w:gridCol w:w="433"/>
        <w:gridCol w:w="433"/>
        <w:gridCol w:w="433"/>
        <w:gridCol w:w="433"/>
        <w:gridCol w:w="433"/>
        <w:gridCol w:w="433"/>
        <w:gridCol w:w="433"/>
        <w:gridCol w:w="433"/>
      </w:tblGrid>
      <w:tr w:rsidR="009D6F52" w:rsidRPr="007C266E" w14:paraId="792FEBD1" w14:textId="77777777" w:rsidTr="007327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0" w:type="dxa"/>
          </w:tcPr>
          <w:p w14:paraId="634A5701" w14:textId="77777777" w:rsidR="009D6F52" w:rsidRPr="007C266E" w:rsidRDefault="009D6F52" w:rsidP="00A86877">
            <w:pPr>
              <w:rPr>
                <w:rFonts w:ascii="Times New Roman" w:hAnsi="Times New Roman" w:cs="Times New Roman"/>
                <w:sz w:val="23"/>
                <w:szCs w:val="23"/>
                <w:lang w:val="ro-RO"/>
              </w:rPr>
            </w:pPr>
          </w:p>
        </w:tc>
        <w:tc>
          <w:tcPr>
            <w:tcW w:w="892" w:type="dxa"/>
            <w:vAlign w:val="center"/>
          </w:tcPr>
          <w:p w14:paraId="35F8A41F" w14:textId="77777777" w:rsidR="009D6F52" w:rsidRPr="007C266E" w:rsidRDefault="009D6F52" w:rsidP="00A868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2010</w:t>
            </w:r>
          </w:p>
        </w:tc>
        <w:tc>
          <w:tcPr>
            <w:tcW w:w="893" w:type="dxa"/>
            <w:vAlign w:val="center"/>
          </w:tcPr>
          <w:p w14:paraId="1EBCFC2D"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2011</w:t>
            </w:r>
          </w:p>
        </w:tc>
        <w:tc>
          <w:tcPr>
            <w:tcW w:w="892" w:type="dxa"/>
            <w:vAlign w:val="center"/>
          </w:tcPr>
          <w:p w14:paraId="532305B1"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2012</w:t>
            </w:r>
          </w:p>
        </w:tc>
        <w:tc>
          <w:tcPr>
            <w:tcW w:w="893" w:type="dxa"/>
            <w:vAlign w:val="center"/>
          </w:tcPr>
          <w:p w14:paraId="019E2BC0"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2013</w:t>
            </w:r>
          </w:p>
        </w:tc>
        <w:tc>
          <w:tcPr>
            <w:tcW w:w="892" w:type="dxa"/>
            <w:vAlign w:val="center"/>
          </w:tcPr>
          <w:p w14:paraId="2C010D10"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2014</w:t>
            </w:r>
          </w:p>
        </w:tc>
        <w:tc>
          <w:tcPr>
            <w:tcW w:w="893" w:type="dxa"/>
            <w:vAlign w:val="center"/>
          </w:tcPr>
          <w:p w14:paraId="3F5EEE03"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2015</w:t>
            </w:r>
          </w:p>
        </w:tc>
        <w:tc>
          <w:tcPr>
            <w:tcW w:w="893" w:type="dxa"/>
            <w:vAlign w:val="center"/>
          </w:tcPr>
          <w:p w14:paraId="37DDCE35"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2016</w:t>
            </w:r>
          </w:p>
        </w:tc>
        <w:tc>
          <w:tcPr>
            <w:tcW w:w="635" w:type="dxa"/>
            <w:vAlign w:val="center"/>
          </w:tcPr>
          <w:p w14:paraId="533C92A2"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2017</w:t>
            </w:r>
          </w:p>
        </w:tc>
        <w:tc>
          <w:tcPr>
            <w:tcW w:w="635" w:type="dxa"/>
            <w:vAlign w:val="center"/>
          </w:tcPr>
          <w:p w14:paraId="55D22059" w14:textId="77777777" w:rsidR="009D6F52" w:rsidRPr="007C266E" w:rsidRDefault="009D6F52" w:rsidP="009E58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2018</w:t>
            </w:r>
          </w:p>
        </w:tc>
      </w:tr>
      <w:tr w:rsidR="009D6F52" w:rsidRPr="007C266E" w14:paraId="72F55E90" w14:textId="77777777" w:rsidTr="007327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180" w:type="dxa"/>
            <w:shd w:val="clear" w:color="auto" w:fill="FFFFFF" w:themeFill="background1"/>
            <w:vAlign w:val="center"/>
          </w:tcPr>
          <w:p w14:paraId="3E76A9EF" w14:textId="77777777" w:rsidR="009D6F52" w:rsidRPr="007C266E" w:rsidRDefault="009D6F52" w:rsidP="006E1D2D">
            <w:pPr>
              <w:rPr>
                <w:rFonts w:ascii="Times New Roman" w:hAnsi="Times New Roman" w:cs="Times New Roman"/>
                <w:sz w:val="23"/>
                <w:szCs w:val="23"/>
                <w:lang w:val="ro-RO"/>
              </w:rPr>
            </w:pPr>
            <w:r w:rsidRPr="007C266E">
              <w:rPr>
                <w:rFonts w:ascii="Times New Roman" w:hAnsi="Times New Roman" w:cs="Times New Roman"/>
                <w:sz w:val="23"/>
                <w:szCs w:val="23"/>
                <w:lang w:val="ro-RO"/>
              </w:rPr>
              <w:t>Media UE</w:t>
            </w:r>
          </w:p>
        </w:tc>
        <w:tc>
          <w:tcPr>
            <w:tcW w:w="892" w:type="dxa"/>
            <w:shd w:val="clear" w:color="auto" w:fill="FFFFFF" w:themeFill="background1"/>
            <w:vAlign w:val="center"/>
          </w:tcPr>
          <w:p w14:paraId="69621D26" w14:textId="77777777" w:rsidR="009D6F52" w:rsidRPr="007C266E" w:rsidRDefault="009D6F52" w:rsidP="00A86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9,5</w:t>
            </w:r>
          </w:p>
        </w:tc>
        <w:tc>
          <w:tcPr>
            <w:tcW w:w="893" w:type="dxa"/>
            <w:shd w:val="clear" w:color="auto" w:fill="FFFFFF" w:themeFill="background1"/>
            <w:vAlign w:val="center"/>
          </w:tcPr>
          <w:p w14:paraId="74052726" w14:textId="77777777" w:rsidR="009D6F52" w:rsidRPr="007C266E" w:rsidRDefault="009D6F52" w:rsidP="00A86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9,8</w:t>
            </w:r>
          </w:p>
        </w:tc>
        <w:tc>
          <w:tcPr>
            <w:tcW w:w="892" w:type="dxa"/>
            <w:shd w:val="clear" w:color="auto" w:fill="FFFFFF" w:themeFill="background1"/>
            <w:vAlign w:val="center"/>
          </w:tcPr>
          <w:p w14:paraId="04BBCFAC"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10,8</w:t>
            </w:r>
          </w:p>
        </w:tc>
        <w:tc>
          <w:tcPr>
            <w:tcW w:w="893" w:type="dxa"/>
            <w:shd w:val="clear" w:color="auto" w:fill="FFFFFF" w:themeFill="background1"/>
            <w:vAlign w:val="center"/>
          </w:tcPr>
          <w:p w14:paraId="341ABE7F"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10,7</w:t>
            </w:r>
          </w:p>
        </w:tc>
        <w:tc>
          <w:tcPr>
            <w:tcW w:w="892" w:type="dxa"/>
            <w:shd w:val="clear" w:color="auto" w:fill="FFFFFF" w:themeFill="background1"/>
            <w:vAlign w:val="center"/>
          </w:tcPr>
          <w:p w14:paraId="010ACCC8"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10,2</w:t>
            </w:r>
          </w:p>
        </w:tc>
        <w:tc>
          <w:tcPr>
            <w:tcW w:w="893" w:type="dxa"/>
            <w:shd w:val="clear" w:color="auto" w:fill="FFFFFF" w:themeFill="background1"/>
            <w:vAlign w:val="center"/>
          </w:tcPr>
          <w:p w14:paraId="165EC271"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9,4</w:t>
            </w:r>
          </w:p>
        </w:tc>
        <w:tc>
          <w:tcPr>
            <w:tcW w:w="893" w:type="dxa"/>
            <w:shd w:val="clear" w:color="auto" w:fill="FFFFFF" w:themeFill="background1"/>
            <w:vAlign w:val="center"/>
          </w:tcPr>
          <w:p w14:paraId="4C561BDA"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8,7</w:t>
            </w:r>
          </w:p>
        </w:tc>
        <w:tc>
          <w:tcPr>
            <w:tcW w:w="635" w:type="dxa"/>
            <w:shd w:val="clear" w:color="auto" w:fill="FFFFFF" w:themeFill="background1"/>
            <w:vAlign w:val="center"/>
          </w:tcPr>
          <w:p w14:paraId="1E776562"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7,8</w:t>
            </w:r>
          </w:p>
        </w:tc>
        <w:tc>
          <w:tcPr>
            <w:tcW w:w="635" w:type="dxa"/>
            <w:shd w:val="clear" w:color="auto" w:fill="FFFFFF" w:themeFill="background1"/>
            <w:vAlign w:val="center"/>
          </w:tcPr>
          <w:p w14:paraId="6579210A" w14:textId="77777777" w:rsidR="009D6F52" w:rsidRPr="007C266E" w:rsidRDefault="009D6F52" w:rsidP="009E58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7,3</w:t>
            </w:r>
          </w:p>
        </w:tc>
      </w:tr>
      <w:tr w:rsidR="009D6F52" w:rsidRPr="007C266E" w14:paraId="4846A50E" w14:textId="77777777" w:rsidTr="007327E2">
        <w:trPr>
          <w:trHeight w:val="346"/>
        </w:trPr>
        <w:tc>
          <w:tcPr>
            <w:cnfStyle w:val="001000000000" w:firstRow="0" w:lastRow="0" w:firstColumn="1" w:lastColumn="0" w:oddVBand="0" w:evenVBand="0" w:oddHBand="0" w:evenHBand="0" w:firstRowFirstColumn="0" w:firstRowLastColumn="0" w:lastRowFirstColumn="0" w:lastRowLastColumn="0"/>
            <w:tcW w:w="1180" w:type="dxa"/>
            <w:shd w:val="clear" w:color="auto" w:fill="DBE5F1" w:themeFill="accent1" w:themeFillTint="33"/>
            <w:vAlign w:val="center"/>
          </w:tcPr>
          <w:p w14:paraId="4A39A3A9" w14:textId="77777777" w:rsidR="009D6F52" w:rsidRPr="007C266E" w:rsidRDefault="009D6F52" w:rsidP="006E1D2D">
            <w:pPr>
              <w:rPr>
                <w:rFonts w:ascii="Times New Roman" w:hAnsi="Times New Roman" w:cs="Times New Roman"/>
                <w:sz w:val="23"/>
                <w:szCs w:val="23"/>
                <w:lang w:val="ro-RO"/>
              </w:rPr>
            </w:pPr>
            <w:r w:rsidRPr="007C266E">
              <w:rPr>
                <w:rFonts w:ascii="Times New Roman" w:hAnsi="Times New Roman" w:cs="Times New Roman"/>
                <w:sz w:val="23"/>
                <w:szCs w:val="23"/>
                <w:lang w:val="ro-RO"/>
              </w:rPr>
              <w:t>România</w:t>
            </w:r>
          </w:p>
        </w:tc>
        <w:tc>
          <w:tcPr>
            <w:tcW w:w="892" w:type="dxa"/>
            <w:shd w:val="clear" w:color="auto" w:fill="DBE5F1" w:themeFill="accent1" w:themeFillTint="33"/>
            <w:vAlign w:val="center"/>
          </w:tcPr>
          <w:p w14:paraId="20487339" w14:textId="77777777" w:rsidR="009D6F52" w:rsidRPr="007C266E" w:rsidRDefault="009D6F52" w:rsidP="00A86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20,1</w:t>
            </w:r>
          </w:p>
        </w:tc>
        <w:tc>
          <w:tcPr>
            <w:tcW w:w="893" w:type="dxa"/>
            <w:shd w:val="clear" w:color="auto" w:fill="DBE5F1" w:themeFill="accent1" w:themeFillTint="33"/>
            <w:vAlign w:val="center"/>
          </w:tcPr>
          <w:p w14:paraId="1679099B" w14:textId="77777777" w:rsidR="009D6F52" w:rsidRPr="007C266E" w:rsidRDefault="009D6F52" w:rsidP="00A86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15,6</w:t>
            </w:r>
          </w:p>
        </w:tc>
        <w:tc>
          <w:tcPr>
            <w:tcW w:w="892" w:type="dxa"/>
            <w:shd w:val="clear" w:color="auto" w:fill="DBE5F1" w:themeFill="accent1" w:themeFillTint="33"/>
            <w:vAlign w:val="center"/>
          </w:tcPr>
          <w:p w14:paraId="3C72461E"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15,0</w:t>
            </w:r>
          </w:p>
        </w:tc>
        <w:tc>
          <w:tcPr>
            <w:tcW w:w="893" w:type="dxa"/>
            <w:shd w:val="clear" w:color="auto" w:fill="DBE5F1" w:themeFill="accent1" w:themeFillTint="33"/>
            <w:vAlign w:val="center"/>
          </w:tcPr>
          <w:p w14:paraId="06F8B954"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14,7</w:t>
            </w:r>
          </w:p>
        </w:tc>
        <w:tc>
          <w:tcPr>
            <w:tcW w:w="892" w:type="dxa"/>
            <w:shd w:val="clear" w:color="auto" w:fill="DBE5F1" w:themeFill="accent1" w:themeFillTint="33"/>
            <w:vAlign w:val="center"/>
          </w:tcPr>
          <w:p w14:paraId="0EEA897C"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12,9</w:t>
            </w:r>
          </w:p>
        </w:tc>
        <w:tc>
          <w:tcPr>
            <w:tcW w:w="893" w:type="dxa"/>
            <w:shd w:val="clear" w:color="auto" w:fill="DBE5F1" w:themeFill="accent1" w:themeFillTint="33"/>
            <w:vAlign w:val="center"/>
          </w:tcPr>
          <w:p w14:paraId="56A915D7"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13,1</w:t>
            </w:r>
          </w:p>
        </w:tc>
        <w:tc>
          <w:tcPr>
            <w:tcW w:w="893" w:type="dxa"/>
            <w:shd w:val="clear" w:color="auto" w:fill="DBE5F1" w:themeFill="accent1" w:themeFillTint="33"/>
            <w:vAlign w:val="center"/>
          </w:tcPr>
          <w:p w14:paraId="2FB7B0FF"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13,8</w:t>
            </w:r>
          </w:p>
        </w:tc>
        <w:tc>
          <w:tcPr>
            <w:tcW w:w="635" w:type="dxa"/>
            <w:shd w:val="clear" w:color="auto" w:fill="DBE5F1" w:themeFill="accent1" w:themeFillTint="33"/>
            <w:vAlign w:val="center"/>
          </w:tcPr>
          <w:p w14:paraId="350E02F3"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11,3</w:t>
            </w:r>
          </w:p>
        </w:tc>
        <w:tc>
          <w:tcPr>
            <w:tcW w:w="635" w:type="dxa"/>
            <w:shd w:val="clear" w:color="auto" w:fill="DBE5F1" w:themeFill="accent1" w:themeFillTint="33"/>
            <w:vAlign w:val="center"/>
          </w:tcPr>
          <w:p w14:paraId="7593F5B9" w14:textId="77777777" w:rsidR="009D6F52" w:rsidRPr="007C266E" w:rsidRDefault="009D6F52" w:rsidP="009E58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lang w:val="ro-RO"/>
              </w:rPr>
            </w:pPr>
            <w:r w:rsidRPr="007C266E">
              <w:rPr>
                <w:rFonts w:ascii="Times New Roman" w:hAnsi="Times New Roman" w:cs="Times New Roman"/>
                <w:sz w:val="23"/>
                <w:szCs w:val="23"/>
                <w:lang w:val="ro-RO"/>
              </w:rPr>
              <w:t>9,6</w:t>
            </w:r>
          </w:p>
        </w:tc>
      </w:tr>
    </w:tbl>
    <w:p w14:paraId="5936E4D3" w14:textId="77777777" w:rsidR="009D6F52" w:rsidRPr="007C266E" w:rsidRDefault="009D6F52" w:rsidP="004B4A53">
      <w:pPr>
        <w:spacing w:after="12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Sursă: Eurostat, Inability to keep home adequately warm</w:t>
      </w:r>
      <w:r w:rsidRPr="007C266E" w:rsidDel="00412B79">
        <w:rPr>
          <w:rFonts w:ascii="Times New Roman" w:hAnsi="Times New Roman" w:cs="Times New Roman"/>
          <w:i/>
          <w:sz w:val="23"/>
          <w:szCs w:val="23"/>
          <w:lang w:val="ro-RO"/>
        </w:rPr>
        <w:t xml:space="preserve"> </w:t>
      </w:r>
      <w:r w:rsidRPr="007C266E">
        <w:rPr>
          <w:rFonts w:ascii="Times New Roman" w:hAnsi="Times New Roman" w:cs="Times New Roman"/>
          <w:i/>
          <w:sz w:val="23"/>
          <w:szCs w:val="23"/>
          <w:lang w:val="ro-RO"/>
        </w:rPr>
        <w:t>- EU-SILC survey [ilc_mdes01]</w:t>
      </w:r>
    </w:p>
    <w:p w14:paraId="29F54B38" w14:textId="77777777" w:rsidR="009D6F52" w:rsidRPr="007C266E" w:rsidRDefault="009D6F52"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Comparația indicatorilor arată, pe de o parte, progresul României în combaterea sărăciei energetice și evidențiază, pe de altă parte, necesitatea de a recupera decalajul față de media UE. Așadar, obiectivul național în această privință este reducerea gradului de sărăcie energetică și protecția consumatorului vulnerabil, în vederea garantării drepturilor omului, având în vedere atingerea nivelului mediu al statelor membre UE al anului 2015.</w:t>
      </w:r>
    </w:p>
    <w:p w14:paraId="425371A5" w14:textId="77777777" w:rsidR="00F14A04" w:rsidRPr="007C266E" w:rsidRDefault="00F14A04" w:rsidP="004B4A53">
      <w:pPr>
        <w:spacing w:line="240" w:lineRule="auto"/>
        <w:rPr>
          <w:rFonts w:ascii="Times New Roman" w:eastAsiaTheme="majorEastAsia" w:hAnsi="Times New Roman" w:cs="Times New Roman"/>
          <w:b/>
          <w:bCs/>
          <w:color w:val="365F91" w:themeColor="accent1" w:themeShade="BF"/>
          <w:sz w:val="23"/>
          <w:szCs w:val="23"/>
          <w:lang w:val="ro-RO"/>
        </w:rPr>
      </w:pPr>
      <w:r w:rsidRPr="007C266E">
        <w:rPr>
          <w:rFonts w:ascii="Times New Roman" w:hAnsi="Times New Roman" w:cs="Times New Roman"/>
          <w:sz w:val="23"/>
          <w:szCs w:val="23"/>
          <w:lang w:val="ro-RO"/>
        </w:rPr>
        <w:br w:type="page"/>
      </w:r>
    </w:p>
    <w:p w14:paraId="163B99AA" w14:textId="77777777" w:rsidR="00845645" w:rsidRPr="007C266E" w:rsidRDefault="00845645" w:rsidP="004B4A53">
      <w:pPr>
        <w:pStyle w:val="Heading1"/>
        <w:spacing w:line="240" w:lineRule="auto"/>
        <w:rPr>
          <w:rFonts w:ascii="Times New Roman" w:hAnsi="Times New Roman" w:cs="Times New Roman"/>
          <w:sz w:val="23"/>
          <w:szCs w:val="23"/>
          <w:lang w:val="ro-RO"/>
        </w:rPr>
        <w:sectPr w:rsidR="00845645" w:rsidRPr="007C266E" w:rsidSect="0089425F">
          <w:type w:val="continuous"/>
          <w:pgSz w:w="12240" w:h="15840"/>
          <w:pgMar w:top="1440" w:right="1440" w:bottom="1440" w:left="1440" w:header="720" w:footer="720" w:gutter="0"/>
          <w:cols w:num="2" w:space="720"/>
          <w:docGrid w:linePitch="360"/>
        </w:sectPr>
      </w:pPr>
    </w:p>
    <w:p w14:paraId="0782D69E" w14:textId="77777777" w:rsidR="00C43C61" w:rsidRPr="007C266E" w:rsidRDefault="00C43C61" w:rsidP="004B4A53">
      <w:pPr>
        <w:pStyle w:val="Heading1"/>
        <w:spacing w:line="240" w:lineRule="auto"/>
        <w:rPr>
          <w:rFonts w:ascii="Times New Roman" w:hAnsi="Times New Roman" w:cs="Times New Roman"/>
          <w:sz w:val="23"/>
          <w:szCs w:val="23"/>
          <w:lang w:val="ro-RO"/>
        </w:rPr>
      </w:pPr>
      <w:bookmarkStart w:id="90" w:name="_Toc44400886"/>
      <w:r w:rsidRPr="007C266E">
        <w:rPr>
          <w:rFonts w:ascii="Times New Roman" w:hAnsi="Times New Roman" w:cs="Times New Roman"/>
          <w:sz w:val="23"/>
          <w:szCs w:val="23"/>
          <w:lang w:val="ro-RO"/>
        </w:rPr>
        <w:lastRenderedPageBreak/>
        <w:t>VII.</w:t>
      </w:r>
      <w:r w:rsidRPr="007C266E">
        <w:rPr>
          <w:rFonts w:ascii="Times New Roman" w:hAnsi="Times New Roman" w:cs="Times New Roman"/>
          <w:sz w:val="23"/>
          <w:szCs w:val="23"/>
          <w:lang w:val="ro-RO"/>
        </w:rPr>
        <w:tab/>
        <w:t>PERSPECTI</w:t>
      </w:r>
      <w:r w:rsidR="00805C83" w:rsidRPr="007C266E">
        <w:rPr>
          <w:rFonts w:ascii="Times New Roman" w:hAnsi="Times New Roman" w:cs="Times New Roman"/>
          <w:sz w:val="23"/>
          <w:szCs w:val="23"/>
          <w:lang w:val="ro-RO"/>
        </w:rPr>
        <w:t>VE ALE SECTORULUI ENERGETIC ROMÂNESC Î</w:t>
      </w:r>
      <w:r w:rsidRPr="007C266E">
        <w:rPr>
          <w:rFonts w:ascii="Times New Roman" w:hAnsi="Times New Roman" w:cs="Times New Roman"/>
          <w:sz w:val="23"/>
          <w:szCs w:val="23"/>
          <w:lang w:val="ro-RO"/>
        </w:rPr>
        <w:t>NTRE 2030 ȘI 2050</w:t>
      </w:r>
      <w:bookmarkEnd w:id="90"/>
    </w:p>
    <w:p w14:paraId="4170264B" w14:textId="77777777" w:rsidR="00845645" w:rsidRPr="007C266E" w:rsidRDefault="00845645" w:rsidP="009E5804">
      <w:pPr>
        <w:spacing w:after="0" w:line="240" w:lineRule="auto"/>
        <w:jc w:val="both"/>
        <w:rPr>
          <w:rFonts w:ascii="Times New Roman" w:hAnsi="Times New Roman" w:cs="Times New Roman"/>
          <w:sz w:val="23"/>
          <w:szCs w:val="23"/>
          <w:lang w:val="ro-RO"/>
        </w:rPr>
        <w:sectPr w:rsidR="00845645" w:rsidRPr="007C266E" w:rsidSect="0089425F">
          <w:type w:val="continuous"/>
          <w:pgSz w:w="12240" w:h="15840"/>
          <w:pgMar w:top="1440" w:right="1440" w:bottom="1440" w:left="1440" w:header="720" w:footer="720" w:gutter="0"/>
          <w:cols w:space="720"/>
          <w:docGrid w:linePitch="360"/>
        </w:sectPr>
      </w:pPr>
    </w:p>
    <w:p w14:paraId="0679DC3F"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C031DEE"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Perspectiva de dezvoltare a sectorului energetic până în anul 2050 este utilă din două motive principale: (1) sectorul energetic are o intensitate ridicată a capitalului, iar multe proiecte au un ciclu investițional lung, astfel încât o bună parte a deciziilor de investiții ce vor avea loc în viitorul apropiat vor continua să își producă efectele în 2050; și (2) politicile energetice și de mediu ale UE, inclusiv țintele pentru anul 2030, sunt construite în jurul obiectivului pe termen lung de </w:t>
      </w:r>
      <w:r w:rsidR="00357F87" w:rsidRPr="007C266E">
        <w:rPr>
          <w:rFonts w:ascii="Times New Roman" w:hAnsi="Times New Roman" w:cs="Times New Roman"/>
          <w:sz w:val="23"/>
          <w:szCs w:val="23"/>
          <w:lang w:val="ro-RO"/>
        </w:rPr>
        <w:t>a atinge un nivel de emisii „net zero” la nivelul anului</w:t>
      </w:r>
      <w:r w:rsidRPr="007C266E">
        <w:rPr>
          <w:rFonts w:ascii="Times New Roman" w:hAnsi="Times New Roman" w:cs="Times New Roman"/>
          <w:sz w:val="23"/>
          <w:szCs w:val="23"/>
          <w:lang w:val="ro-RO"/>
        </w:rPr>
        <w:t xml:space="preserve"> 2050.</w:t>
      </w:r>
    </w:p>
    <w:p w14:paraId="6E9FDA0C"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057CED1B"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Obiectivul global de atenuare a schimbărilor climatice poate fi îndeplinit doar prin acțiuni și măsuri cu caracter transformator la nivel </w:t>
      </w:r>
      <w:r w:rsidR="00CF1B1B" w:rsidRPr="007C266E">
        <w:rPr>
          <w:rFonts w:ascii="Times New Roman" w:hAnsi="Times New Roman" w:cs="Times New Roman"/>
          <w:sz w:val="23"/>
          <w:szCs w:val="23"/>
          <w:lang w:val="ro-RO"/>
        </w:rPr>
        <w:t>global</w:t>
      </w:r>
      <w:r w:rsidRPr="007C266E">
        <w:rPr>
          <w:rFonts w:ascii="Times New Roman" w:hAnsi="Times New Roman" w:cs="Times New Roman"/>
          <w:sz w:val="23"/>
          <w:szCs w:val="23"/>
          <w:lang w:val="ro-RO"/>
        </w:rPr>
        <w:t xml:space="preserve">. O direcție principală de acțiune va fi accelerarea tranziției </w:t>
      </w:r>
      <w:r w:rsidR="00CF1B1B" w:rsidRPr="007C266E">
        <w:rPr>
          <w:rFonts w:ascii="Times New Roman" w:hAnsi="Times New Roman" w:cs="Times New Roman"/>
          <w:sz w:val="23"/>
          <w:szCs w:val="23"/>
          <w:lang w:val="ro-RO"/>
        </w:rPr>
        <w:t xml:space="preserve">sectorului energetic către tehnologii care permit reducerea emisiilor de GES </w:t>
      </w:r>
      <w:r w:rsidRPr="007C266E">
        <w:rPr>
          <w:rFonts w:ascii="Times New Roman" w:hAnsi="Times New Roman" w:cs="Times New Roman"/>
          <w:sz w:val="23"/>
          <w:szCs w:val="23"/>
          <w:lang w:val="ro-RO"/>
        </w:rPr>
        <w:t xml:space="preserve">Multe dintre transformările pe termen lung ale sectorului energetic pot fi anticipate, dat fiind ritmul lent de înlocuire al infrastructurii energetice. </w:t>
      </w:r>
    </w:p>
    <w:p w14:paraId="24A0EA45" w14:textId="77777777" w:rsidR="00845645" w:rsidRPr="007C266E" w:rsidRDefault="00845645" w:rsidP="009E5804">
      <w:pPr>
        <w:spacing w:after="0" w:line="240" w:lineRule="auto"/>
        <w:jc w:val="both"/>
        <w:rPr>
          <w:rFonts w:ascii="Times New Roman" w:hAnsi="Times New Roman" w:cs="Times New Roman"/>
          <w:sz w:val="23"/>
          <w:szCs w:val="23"/>
          <w:lang w:val="ro-RO"/>
        </w:rPr>
      </w:pPr>
    </w:p>
    <w:p w14:paraId="4C481B27" w14:textId="77777777" w:rsidR="00D970A5" w:rsidRPr="007C266E" w:rsidRDefault="00D970A5"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Tendințele prezentate în acest capitol oferă o perspectivă asupra evoluției sectorului energetic din România pentru perioada 2030-2050. Incertitudinea previziunilor pe termen lung, care depinde de evoluția tehnologiilor, a inovării și dezvoltarea sectorului energetic la nivel european, face ca ele să aibă un caracter mai degrabă orientativ și necesar a fi analizate și actualizate periodic.</w:t>
      </w:r>
    </w:p>
    <w:p w14:paraId="054688F4" w14:textId="77777777" w:rsidR="00D970A5" w:rsidRPr="007C266E" w:rsidRDefault="00D970A5" w:rsidP="009E5804">
      <w:pPr>
        <w:spacing w:after="0" w:line="240" w:lineRule="auto"/>
        <w:jc w:val="both"/>
        <w:rPr>
          <w:rFonts w:ascii="Times New Roman" w:hAnsi="Times New Roman" w:cs="Times New Roman"/>
          <w:b/>
          <w:sz w:val="23"/>
          <w:szCs w:val="23"/>
          <w:lang w:val="ro-RO"/>
        </w:rPr>
      </w:pPr>
    </w:p>
    <w:p w14:paraId="7E00ADB0"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Evoluția sectorului energetic românesc în orizontul anului 2050</w:t>
      </w:r>
    </w:p>
    <w:p w14:paraId="7B1429DA"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4F968635" w14:textId="77777777" w:rsidR="00D970A5" w:rsidRPr="007C266E" w:rsidRDefault="00D970A5"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Principalele tendințe de dezvoltare la nivel european și la nivel național se referă la: creșterea rolului biomasei în mixul energetic; susținerea electromobilității; creșterea ponderii SRE în mixul energiei electrice și utilizarea tehnologiilor CSC; încurajarea </w:t>
      </w:r>
      <w:r w:rsidRPr="007C266E">
        <w:rPr>
          <w:rFonts w:ascii="Times New Roman" w:hAnsi="Times New Roman" w:cs="Times New Roman"/>
          <w:sz w:val="23"/>
          <w:szCs w:val="23"/>
          <w:lang w:val="ro-RO"/>
        </w:rPr>
        <w:lastRenderedPageBreak/>
        <w:t>investi</w:t>
      </w:r>
      <w:r w:rsidR="0087126E" w:rsidRPr="007C266E">
        <w:rPr>
          <w:rFonts w:ascii="Times New Roman" w:hAnsi="Times New Roman" w:cs="Times New Roman"/>
          <w:sz w:val="23"/>
          <w:szCs w:val="23"/>
          <w:lang w:val="ro-RO"/>
        </w:rPr>
        <w:t>ț</w:t>
      </w:r>
      <w:r w:rsidRPr="007C266E">
        <w:rPr>
          <w:rFonts w:ascii="Times New Roman" w:hAnsi="Times New Roman" w:cs="Times New Roman"/>
          <w:sz w:val="23"/>
          <w:szCs w:val="23"/>
          <w:lang w:val="ro-RO"/>
        </w:rPr>
        <w:t>iilor în infrastructura de stocare a energiei; creșterea eficienței energetice, în special a imobilelor; oportunitatea utilizării pompelor de căldură în încălzire/răcire.</w:t>
      </w:r>
    </w:p>
    <w:p w14:paraId="5CA77C63"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205BD9B4"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Producția energiei electrice pe bază de tehnologii cu emisii reduse de GES </w:t>
      </w:r>
    </w:p>
    <w:p w14:paraId="7EBB8BE7"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7BF321FD" w14:textId="77777777" w:rsidR="00D970A5" w:rsidRPr="007C266E" w:rsidRDefault="00D970A5"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Se estimează că, perioada 2020-2030 va aduce creșteri moderate ale capacităților de producere a energiei din SRE, cu precădere eoliene și fotovoltaice. </w:t>
      </w:r>
    </w:p>
    <w:p w14:paraId="396BD787" w14:textId="77777777" w:rsidR="00845645" w:rsidRPr="007C266E" w:rsidRDefault="00845645" w:rsidP="009E5804">
      <w:pPr>
        <w:spacing w:after="0" w:line="240" w:lineRule="auto"/>
        <w:jc w:val="both"/>
        <w:rPr>
          <w:rFonts w:ascii="Times New Roman" w:hAnsi="Times New Roman" w:cs="Times New Roman"/>
          <w:sz w:val="23"/>
          <w:szCs w:val="23"/>
          <w:lang w:val="ro-RO"/>
        </w:rPr>
      </w:pPr>
    </w:p>
    <w:p w14:paraId="7938302E" w14:textId="77777777" w:rsidR="00D970A5" w:rsidRPr="007C266E" w:rsidRDefault="00D970A5" w:rsidP="004B4A53">
      <w:pPr>
        <w:spacing w:line="240" w:lineRule="auto"/>
        <w:jc w:val="both"/>
        <w:rPr>
          <w:rFonts w:ascii="Times New Roman" w:hAnsi="Times New Roman" w:cs="Times New Roman"/>
          <w:sz w:val="23"/>
          <w:szCs w:val="23"/>
          <w:lang w:val="ro-RO"/>
        </w:rPr>
      </w:pPr>
      <w:bookmarkStart w:id="91" w:name="_Hlk44286014"/>
      <w:r w:rsidRPr="007C266E">
        <w:rPr>
          <w:rFonts w:ascii="Times New Roman" w:hAnsi="Times New Roman" w:cs="Times New Roman"/>
          <w:sz w:val="23"/>
          <w:szCs w:val="23"/>
          <w:lang w:val="ro-RO"/>
        </w:rPr>
        <w:t>Cu toate acestea, evoluția costului cu emisiile de GES în coroborare cu o creștere a performanței tehnologiilor de producere a energiei din SRE, în principal eoliană și fotovoltaică, raportată la costurile investiționale și operaționale, va accelera tranziția energetică în România, prin creșterea ritmului de extindere a centralelor eoliene, fotovoltaice și a altor tehnologii cu emisii reduse de GES, după 2030.</w:t>
      </w:r>
    </w:p>
    <w:bookmarkEnd w:id="91"/>
    <w:p w14:paraId="7B9D4241" w14:textId="77777777" w:rsidR="00D970A5" w:rsidRPr="007C266E" w:rsidRDefault="00D970A5" w:rsidP="006E1D2D">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Capacitatea netă instalată în centrale pe bază de SRE în anul 2050 presupune investiții pentru punerea în funcțiune a noi capacități precum și pentru înlocuirea capacităților existente, instalate în perioada 2010-2016. care vor ajunge la sfârșitul duratei de viață în perioada 2030-2040.</w:t>
      </w:r>
    </w:p>
    <w:p w14:paraId="5B03A708" w14:textId="77777777" w:rsidR="00D970A5" w:rsidRPr="007C266E" w:rsidRDefault="00D970A5" w:rsidP="00A86877">
      <w:pPr>
        <w:spacing w:after="0" w:line="240" w:lineRule="auto"/>
        <w:jc w:val="both"/>
        <w:rPr>
          <w:rFonts w:ascii="Times New Roman" w:hAnsi="Times New Roman" w:cs="Times New Roman"/>
          <w:sz w:val="23"/>
          <w:szCs w:val="23"/>
          <w:lang w:val="ro-RO"/>
        </w:rPr>
      </w:pPr>
    </w:p>
    <w:p w14:paraId="362BBBA4" w14:textId="77777777" w:rsidR="00D970A5" w:rsidRPr="007C266E" w:rsidRDefault="00D970A5" w:rsidP="00A86877">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De asemenea, se estimează că după 2035 se vor crea premise pentru introducerea reactoarelor nucleare de generația IV, mici și modulare (SMR), care vor putea crește ponderea energiei cu emisii scăzute de GES. În acest context se remarcă oportunitatea dezvoltării tehnologiei de reactoare rapide răcite cu plumb, care ar putea facilita României și posibilitatea participării la proiecte de investiții pe plan mondial.</w:t>
      </w:r>
    </w:p>
    <w:p w14:paraId="46CA6555" w14:textId="77777777" w:rsidR="00D970A5" w:rsidRPr="007C266E" w:rsidRDefault="00D970A5"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5D9E5727" w14:textId="77777777" w:rsidR="00D970A5" w:rsidRPr="007C266E" w:rsidRDefault="00D970A5"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Evoluția mixului energetic are la bază premisa utilizării hidroenergiei, a energiei din surse </w:t>
      </w:r>
      <w:r w:rsidRPr="007C266E">
        <w:rPr>
          <w:rFonts w:ascii="Times New Roman" w:hAnsi="Times New Roman" w:cs="Times New Roman"/>
          <w:sz w:val="23"/>
          <w:szCs w:val="23"/>
          <w:lang w:val="ro-RO"/>
        </w:rPr>
        <w:lastRenderedPageBreak/>
        <w:t xml:space="preserve">regenerabile de energie și a energiei nucleare pe termen lung în România, pentru un mix energetic diversificat și echilibrat cu emisii reduse de carbon. </w:t>
      </w:r>
    </w:p>
    <w:p w14:paraId="1E8254E0" w14:textId="77777777" w:rsidR="000305DC" w:rsidRPr="007C266E" w:rsidRDefault="000305DC" w:rsidP="009E5804">
      <w:pPr>
        <w:spacing w:after="0" w:line="240" w:lineRule="auto"/>
        <w:jc w:val="both"/>
        <w:rPr>
          <w:rFonts w:ascii="Times New Roman" w:hAnsi="Times New Roman" w:cs="Times New Roman"/>
          <w:sz w:val="23"/>
          <w:szCs w:val="23"/>
          <w:lang w:val="ro-RO"/>
        </w:rPr>
      </w:pPr>
    </w:p>
    <w:p w14:paraId="08FEE9D3"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Stocarea energiei electrice la scară mare</w:t>
      </w:r>
    </w:p>
    <w:p w14:paraId="365CEBF7"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25D531EE" w14:textId="77777777" w:rsidR="00C43C61" w:rsidRPr="007C266E" w:rsidRDefault="00BD10A8"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D</w:t>
      </w:r>
      <w:r w:rsidR="00C43C61" w:rsidRPr="007C266E">
        <w:rPr>
          <w:rFonts w:ascii="Times New Roman" w:hAnsi="Times New Roman" w:cs="Times New Roman"/>
          <w:sz w:val="23"/>
          <w:szCs w:val="23"/>
          <w:lang w:val="ro-RO"/>
        </w:rPr>
        <w:t>upă anul 2030 și</w:t>
      </w:r>
      <w:r w:rsidRPr="007C266E">
        <w:rPr>
          <w:rFonts w:ascii="Times New Roman" w:hAnsi="Times New Roman" w:cs="Times New Roman"/>
          <w:sz w:val="23"/>
          <w:szCs w:val="23"/>
          <w:lang w:val="ro-RO"/>
        </w:rPr>
        <w:t>,</w:t>
      </w:r>
      <w:r w:rsidR="00C43C61" w:rsidRPr="007C266E">
        <w:rPr>
          <w:rFonts w:ascii="Times New Roman" w:hAnsi="Times New Roman" w:cs="Times New Roman"/>
          <w:sz w:val="23"/>
          <w:szCs w:val="23"/>
          <w:lang w:val="ro-RO"/>
        </w:rPr>
        <w:t xml:space="preserve"> mai ales</w:t>
      </w:r>
      <w:r w:rsidRPr="007C266E">
        <w:rPr>
          <w:rFonts w:ascii="Times New Roman" w:hAnsi="Times New Roman" w:cs="Times New Roman"/>
          <w:sz w:val="23"/>
          <w:szCs w:val="23"/>
          <w:lang w:val="ro-RO"/>
        </w:rPr>
        <w:t>,</w:t>
      </w:r>
      <w:r w:rsidR="00C43C61" w:rsidRPr="007C266E">
        <w:rPr>
          <w:rFonts w:ascii="Times New Roman" w:hAnsi="Times New Roman" w:cs="Times New Roman"/>
          <w:sz w:val="23"/>
          <w:szCs w:val="23"/>
          <w:lang w:val="ro-RO"/>
        </w:rPr>
        <w:t xml:space="preserve"> după 2040, va apărea necesitatea de a dezvolta noi soluții de stocare a energiei electrice produse în centrale eoliene și fotovoltaice.</w:t>
      </w:r>
    </w:p>
    <w:p w14:paraId="7EE95112" w14:textId="77777777" w:rsidR="00BD10A8" w:rsidRPr="007C266E" w:rsidRDefault="00BD10A8" w:rsidP="009E5804">
      <w:pPr>
        <w:spacing w:after="0" w:line="240" w:lineRule="auto"/>
        <w:jc w:val="both"/>
        <w:rPr>
          <w:rFonts w:ascii="Times New Roman" w:hAnsi="Times New Roman" w:cs="Times New Roman"/>
          <w:sz w:val="23"/>
          <w:szCs w:val="23"/>
          <w:lang w:val="ro-RO"/>
        </w:rPr>
      </w:pPr>
    </w:p>
    <w:p w14:paraId="57D82908" w14:textId="77777777" w:rsidR="00D970A5" w:rsidRPr="007C266E" w:rsidRDefault="00D970A5"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orizontul anului 2050, se estimează necesitatea de a asigura echilibrarea pentru 15-20 GW instalați în centrale cu producție intermitentă, la nivelul SEN. Astfel, suplimentar cap</w:t>
      </w:r>
      <w:r w:rsidR="0087126E" w:rsidRPr="007C266E">
        <w:rPr>
          <w:rFonts w:ascii="Times New Roman" w:hAnsi="Times New Roman" w:cs="Times New Roman"/>
          <w:sz w:val="23"/>
          <w:szCs w:val="23"/>
          <w:lang w:val="ro-RO"/>
        </w:rPr>
        <w:t>a</w:t>
      </w:r>
      <w:r w:rsidRPr="007C266E">
        <w:rPr>
          <w:rFonts w:ascii="Times New Roman" w:hAnsi="Times New Roman" w:cs="Times New Roman"/>
          <w:sz w:val="23"/>
          <w:szCs w:val="23"/>
          <w:lang w:val="ro-RO"/>
        </w:rPr>
        <w:t>cităților existente, se remarcă oportunitatea dezvoltării sistemelor de baterii de mare capacitate sau a sistemelor de baterii de capacități mijlocii sau mici dispersate geografic, ca soluție marginală pe piața de echilibrare. În această direcție, tehnologii, care în prezent sunt costisitoare, dar care ar putea deveni fezabile economic și oportune, în funcție de progresul tehnologic și evoluția sectorului energetic</w:t>
      </w:r>
      <w:r w:rsidR="009B60E8"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sunt celule</w:t>
      </w:r>
      <w:r w:rsidR="00912C40" w:rsidRPr="007C266E">
        <w:rPr>
          <w:rFonts w:ascii="Times New Roman" w:hAnsi="Times New Roman" w:cs="Times New Roman"/>
          <w:sz w:val="23"/>
          <w:szCs w:val="23"/>
          <w:lang w:val="ro-RO"/>
        </w:rPr>
        <w:t>le</w:t>
      </w:r>
      <w:r w:rsidRPr="007C266E">
        <w:rPr>
          <w:rFonts w:ascii="Times New Roman" w:hAnsi="Times New Roman" w:cs="Times New Roman"/>
          <w:sz w:val="23"/>
          <w:szCs w:val="23"/>
          <w:lang w:val="ro-RO"/>
        </w:rPr>
        <w:t xml:space="preserve"> de combustie având la bază procesul de hidroliză pe bază de energie din SRE și alte tehnologii de producere a energiei cu emisii reduse de carbon. </w:t>
      </w:r>
    </w:p>
    <w:p w14:paraId="1AAAFDBD" w14:textId="77777777" w:rsidR="00D970A5" w:rsidRPr="007C266E" w:rsidRDefault="00D970A5"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După anul 2030, centralele hidroelectrice cu acumulare prin pompaj devin oportune în mixul de capacități în toate scenariile analizate. Scenariile estimează capacități cu acumulare prin pompaj de aproximativ 1000 MW în anul 2050, cu variații între 850 MW și 1100 MW. Scenariile în care necesarul estimat de capacități hidroelectrice cu acumulare prin pompaj este cel mai </w:t>
      </w:r>
      <w:r w:rsidR="001E0413" w:rsidRPr="007C266E">
        <w:rPr>
          <w:rFonts w:ascii="Times New Roman" w:hAnsi="Times New Roman" w:cs="Times New Roman"/>
          <w:sz w:val="23"/>
          <w:szCs w:val="23"/>
          <w:lang w:val="ro-RO"/>
        </w:rPr>
        <w:t>ridicat,</w:t>
      </w:r>
      <w:r w:rsidRPr="007C266E">
        <w:rPr>
          <w:rFonts w:ascii="Times New Roman" w:hAnsi="Times New Roman" w:cs="Times New Roman"/>
          <w:sz w:val="23"/>
          <w:szCs w:val="23"/>
          <w:lang w:val="ro-RO"/>
        </w:rPr>
        <w:t xml:space="preserve"> sunt cele cu decarbonare ambițioasă.</w:t>
      </w:r>
    </w:p>
    <w:p w14:paraId="2CD4E95E" w14:textId="77777777" w:rsidR="00D970A5" w:rsidRPr="007C266E" w:rsidRDefault="00BD10A8"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 alte scenarii</w:t>
      </w:r>
      <w:r w:rsidR="00D970A5" w:rsidRPr="007C266E">
        <w:rPr>
          <w:rFonts w:ascii="Times New Roman" w:hAnsi="Times New Roman" w:cs="Times New Roman"/>
          <w:sz w:val="23"/>
          <w:szCs w:val="23"/>
          <w:lang w:val="ro-RO"/>
        </w:rPr>
        <w:t xml:space="preserve"> analizate</w:t>
      </w:r>
      <w:r w:rsidR="00C43C61" w:rsidRPr="007C266E">
        <w:rPr>
          <w:rFonts w:ascii="Times New Roman" w:hAnsi="Times New Roman" w:cs="Times New Roman"/>
          <w:sz w:val="23"/>
          <w:szCs w:val="23"/>
          <w:lang w:val="ro-RO"/>
        </w:rPr>
        <w:t xml:space="preserve">, necesarul mai scăzut de capacități hidroelectrice cu </w:t>
      </w:r>
      <w:r w:rsidR="00D970A5" w:rsidRPr="007C266E">
        <w:rPr>
          <w:rFonts w:ascii="Times New Roman" w:hAnsi="Times New Roman" w:cs="Times New Roman"/>
          <w:sz w:val="23"/>
          <w:szCs w:val="23"/>
          <w:lang w:val="ro-RO"/>
        </w:rPr>
        <w:t xml:space="preserve">acumulare prin </w:t>
      </w:r>
      <w:r w:rsidR="00C43C61" w:rsidRPr="007C266E">
        <w:rPr>
          <w:rFonts w:ascii="Times New Roman" w:hAnsi="Times New Roman" w:cs="Times New Roman"/>
          <w:sz w:val="23"/>
          <w:szCs w:val="23"/>
          <w:lang w:val="ro-RO"/>
        </w:rPr>
        <w:t xml:space="preserve">pompaj este justificat de dezvoltarea, în paralel, a capacităților de producție a gazului de sinteză. </w:t>
      </w:r>
      <w:r w:rsidR="00AE17FE" w:rsidRPr="007C266E">
        <w:rPr>
          <w:rFonts w:ascii="Times New Roman" w:hAnsi="Times New Roman" w:cs="Times New Roman"/>
          <w:sz w:val="23"/>
          <w:szCs w:val="23"/>
          <w:lang w:val="ro-RO"/>
        </w:rPr>
        <w:t xml:space="preserve"> </w:t>
      </w:r>
      <w:r w:rsidR="00C43C61" w:rsidRPr="007C266E">
        <w:rPr>
          <w:rFonts w:ascii="Times New Roman" w:hAnsi="Times New Roman" w:cs="Times New Roman"/>
          <w:sz w:val="23"/>
          <w:szCs w:val="23"/>
          <w:lang w:val="ro-RO"/>
        </w:rPr>
        <w:t xml:space="preserve">Producția de gaz de sinteză din SRE este binevenită în mixul energetic către sfârșitul tranziției energetice, la orizontul anului 2050, pentru că poate contribui la decarbonarea </w:t>
      </w:r>
      <w:r w:rsidR="00BA1FBD" w:rsidRPr="007C266E">
        <w:rPr>
          <w:rFonts w:ascii="Times New Roman" w:hAnsi="Times New Roman" w:cs="Times New Roman"/>
          <w:sz w:val="23"/>
          <w:szCs w:val="23"/>
          <w:lang w:val="ro-RO"/>
        </w:rPr>
        <w:t>gazelor naturale</w:t>
      </w:r>
      <w:r w:rsidR="00C43C61" w:rsidRPr="007C266E">
        <w:rPr>
          <w:rFonts w:ascii="Times New Roman" w:hAnsi="Times New Roman" w:cs="Times New Roman"/>
          <w:sz w:val="23"/>
          <w:szCs w:val="23"/>
          <w:lang w:val="ro-RO"/>
        </w:rPr>
        <w:t xml:space="preserve">. </w:t>
      </w:r>
      <w:r w:rsidR="00D970A5" w:rsidRPr="007C266E">
        <w:rPr>
          <w:rFonts w:ascii="Times New Roman" w:hAnsi="Times New Roman" w:cs="Times New Roman"/>
          <w:sz w:val="23"/>
          <w:szCs w:val="23"/>
          <w:lang w:val="ro-RO"/>
        </w:rPr>
        <w:t xml:space="preserve">Atât pomparea </w:t>
      </w:r>
      <w:r w:rsidR="00D970A5" w:rsidRPr="007C266E">
        <w:rPr>
          <w:rFonts w:ascii="Times New Roman" w:hAnsi="Times New Roman" w:cs="Times New Roman"/>
          <w:sz w:val="23"/>
          <w:szCs w:val="23"/>
          <w:lang w:val="ro-RO"/>
        </w:rPr>
        <w:lastRenderedPageBreak/>
        <w:t>inversă a apei în centrale hidroelectrice, cât și hidroliza au un randament relativ scăzut. Din acest motiv, implementarea acestor tehnologii la scară mare depinde în mare măsură de evoluția acestor tehnologii și a inovării în domeniu, precum și de evoluția sectorului energetic și con</w:t>
      </w:r>
      <w:r w:rsidR="001E0413" w:rsidRPr="007C266E">
        <w:rPr>
          <w:rFonts w:ascii="Times New Roman" w:hAnsi="Times New Roman" w:cs="Times New Roman"/>
          <w:sz w:val="23"/>
          <w:szCs w:val="23"/>
          <w:lang w:val="ro-RO"/>
        </w:rPr>
        <w:t>d</w:t>
      </w:r>
      <w:r w:rsidR="00D970A5" w:rsidRPr="007C266E">
        <w:rPr>
          <w:rFonts w:ascii="Times New Roman" w:hAnsi="Times New Roman" w:cs="Times New Roman"/>
          <w:sz w:val="23"/>
          <w:szCs w:val="23"/>
          <w:lang w:val="ro-RO"/>
        </w:rPr>
        <w:t xml:space="preserve">ițiile de piață în Romania și la nivel europen, în orizontul de timp analizat. </w:t>
      </w:r>
    </w:p>
    <w:p w14:paraId="7F098D57" w14:textId="77777777" w:rsidR="005B3547" w:rsidRPr="007C266E" w:rsidRDefault="005B3547" w:rsidP="009E5804">
      <w:pPr>
        <w:spacing w:after="0" w:line="240" w:lineRule="auto"/>
        <w:jc w:val="both"/>
        <w:rPr>
          <w:rFonts w:ascii="Times New Roman" w:hAnsi="Times New Roman" w:cs="Times New Roman"/>
          <w:sz w:val="23"/>
          <w:szCs w:val="23"/>
          <w:lang w:val="ro-RO"/>
        </w:rPr>
      </w:pPr>
    </w:p>
    <w:p w14:paraId="2C804CC6"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Un rol important în echilibrarea SEN îl vor avea rețelele inteligente și managementul cererii de energie, inclusiv prin creșterea rolului comunităților locale și al </w:t>
      </w:r>
      <w:r w:rsidR="00F46422" w:rsidRPr="007C266E">
        <w:rPr>
          <w:rFonts w:ascii="Times New Roman" w:hAnsi="Times New Roman" w:cs="Times New Roman"/>
          <w:sz w:val="23"/>
          <w:szCs w:val="23"/>
          <w:lang w:val="ro-RO"/>
        </w:rPr>
        <w:t>prosumator</w:t>
      </w:r>
      <w:r w:rsidR="0026232D" w:rsidRPr="007C266E">
        <w:rPr>
          <w:rFonts w:ascii="Times New Roman" w:hAnsi="Times New Roman" w:cs="Times New Roman"/>
          <w:sz w:val="23"/>
          <w:szCs w:val="23"/>
          <w:lang w:val="ro-RO"/>
        </w:rPr>
        <w:t>ilor</w:t>
      </w:r>
      <w:r w:rsidR="00A8655E" w:rsidRPr="007C266E">
        <w:rPr>
          <w:rFonts w:ascii="Times New Roman" w:hAnsi="Times New Roman" w:cs="Times New Roman"/>
          <w:sz w:val="23"/>
          <w:szCs w:val="23"/>
          <w:lang w:val="ro-RO"/>
        </w:rPr>
        <w:t xml:space="preserve"> care ar putea deține și </w:t>
      </w:r>
      <w:r w:rsidRPr="007C266E">
        <w:rPr>
          <w:rFonts w:ascii="Times New Roman" w:hAnsi="Times New Roman" w:cs="Times New Roman"/>
          <w:sz w:val="23"/>
          <w:szCs w:val="23"/>
          <w:lang w:val="ro-RO"/>
        </w:rPr>
        <w:t xml:space="preserve"> capacități de stocare. </w:t>
      </w:r>
    </w:p>
    <w:p w14:paraId="510E1FAC" w14:textId="77777777" w:rsidR="00F716F6" w:rsidRPr="007C266E" w:rsidRDefault="00F716F6" w:rsidP="009E5804">
      <w:pPr>
        <w:spacing w:after="0" w:line="240" w:lineRule="auto"/>
        <w:jc w:val="both"/>
        <w:rPr>
          <w:rFonts w:ascii="Times New Roman" w:hAnsi="Times New Roman" w:cs="Times New Roman"/>
          <w:sz w:val="23"/>
          <w:szCs w:val="23"/>
          <w:lang w:val="ro-RO"/>
        </w:rPr>
      </w:pPr>
    </w:p>
    <w:p w14:paraId="25E1D7DC" w14:textId="497FC627" w:rsidR="00F14A04" w:rsidRPr="007C266E" w:rsidRDefault="00F14A04"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Rolul </w:t>
      </w:r>
      <w:r w:rsidR="002F4DBF">
        <w:rPr>
          <w:rFonts w:ascii="Times New Roman" w:hAnsi="Times New Roman" w:cs="Times New Roman"/>
          <w:b/>
          <w:sz w:val="23"/>
          <w:szCs w:val="23"/>
          <w:lang w:val="ro-RO"/>
        </w:rPr>
        <w:t>p</w:t>
      </w:r>
      <w:r w:rsidRPr="007C266E">
        <w:rPr>
          <w:rFonts w:ascii="Times New Roman" w:hAnsi="Times New Roman" w:cs="Times New Roman"/>
          <w:b/>
          <w:sz w:val="23"/>
          <w:szCs w:val="23"/>
          <w:lang w:val="ro-RO"/>
        </w:rPr>
        <w:t>e termen lung al autovehiculului electric în transporturi</w:t>
      </w:r>
    </w:p>
    <w:p w14:paraId="6422EC9C" w14:textId="77777777" w:rsidR="00F14A04" w:rsidRPr="007C266E" w:rsidRDefault="00F14A04"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2ADC06C6" w14:textId="79519A97" w:rsidR="00F14A04" w:rsidRPr="007C266E" w:rsidRDefault="00F14A04"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Mobilitatea electrică reprezintă o alternativă </w:t>
      </w:r>
      <w:r w:rsidR="009C77AF" w:rsidRPr="007C266E">
        <w:rPr>
          <w:rFonts w:ascii="Times New Roman" w:hAnsi="Times New Roman" w:cs="Times New Roman"/>
          <w:sz w:val="23"/>
          <w:szCs w:val="23"/>
          <w:lang w:val="ro-RO"/>
        </w:rPr>
        <w:t>sustenabilă posibilă</w:t>
      </w:r>
      <w:r w:rsidRPr="007C266E">
        <w:rPr>
          <w:rFonts w:ascii="Times New Roman" w:hAnsi="Times New Roman" w:cs="Times New Roman"/>
          <w:sz w:val="23"/>
          <w:szCs w:val="23"/>
          <w:lang w:val="ro-RO"/>
        </w:rPr>
        <w:t xml:space="preserve">, </w:t>
      </w:r>
      <w:r w:rsidR="008F2039">
        <w:rPr>
          <w:rFonts w:ascii="Times New Roman" w:hAnsi="Times New Roman" w:cs="Times New Roman"/>
          <w:sz w:val="23"/>
          <w:szCs w:val="23"/>
          <w:lang w:val="ro-RO"/>
        </w:rPr>
        <w:t>p</w:t>
      </w:r>
      <w:r w:rsidRPr="007C266E">
        <w:rPr>
          <w:rFonts w:ascii="Times New Roman" w:hAnsi="Times New Roman" w:cs="Times New Roman"/>
          <w:sz w:val="23"/>
          <w:szCs w:val="23"/>
          <w:lang w:val="ro-RO"/>
        </w:rPr>
        <w:t>e termen lung, la motorul cu ar</w:t>
      </w:r>
      <w:r w:rsidR="002410B5" w:rsidRPr="007C266E">
        <w:rPr>
          <w:rFonts w:ascii="Times New Roman" w:hAnsi="Times New Roman" w:cs="Times New Roman"/>
          <w:sz w:val="23"/>
          <w:szCs w:val="23"/>
          <w:lang w:val="ro-RO"/>
        </w:rPr>
        <w:t>dere internă. Gazele</w:t>
      </w:r>
      <w:r w:rsidRPr="007C266E">
        <w:rPr>
          <w:rFonts w:ascii="Times New Roman" w:hAnsi="Times New Roman" w:cs="Times New Roman"/>
          <w:sz w:val="23"/>
          <w:szCs w:val="23"/>
          <w:lang w:val="ro-RO"/>
        </w:rPr>
        <w:t xml:space="preserve"> natural</w:t>
      </w:r>
      <w:r w:rsidR="002410B5" w:rsidRPr="007C266E">
        <w:rPr>
          <w:rFonts w:ascii="Times New Roman" w:hAnsi="Times New Roman" w:cs="Times New Roman"/>
          <w:sz w:val="23"/>
          <w:szCs w:val="23"/>
          <w:lang w:val="ro-RO"/>
        </w:rPr>
        <w:t>e</w:t>
      </w:r>
      <w:r w:rsidRPr="007C266E">
        <w:rPr>
          <w:rFonts w:ascii="Times New Roman" w:hAnsi="Times New Roman" w:cs="Times New Roman"/>
          <w:sz w:val="23"/>
          <w:szCs w:val="23"/>
          <w:lang w:val="ro-RO"/>
        </w:rPr>
        <w:t>, GPL-ul și hidrogenul sunt combustibili alternativi viabili pentru sectorul transporturilor, însă este puțin probabil să ofere o soluție de înlocuire pe scară largă a produselor petroliere în mixul energetic.</w:t>
      </w:r>
    </w:p>
    <w:p w14:paraId="55FC9532" w14:textId="77777777" w:rsidR="00F14A04" w:rsidRPr="007C266E" w:rsidRDefault="00F14A04" w:rsidP="009E5804">
      <w:pPr>
        <w:spacing w:after="0" w:line="240" w:lineRule="auto"/>
        <w:jc w:val="both"/>
        <w:rPr>
          <w:rFonts w:ascii="Times New Roman" w:hAnsi="Times New Roman" w:cs="Times New Roman"/>
          <w:sz w:val="23"/>
          <w:szCs w:val="23"/>
          <w:lang w:val="ro-RO"/>
        </w:rPr>
      </w:pPr>
    </w:p>
    <w:p w14:paraId="55F49301" w14:textId="77777777" w:rsidR="00F14A04" w:rsidRPr="007C266E" w:rsidRDefault="00F14A04"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Pe de altă parte, principala problemă a autovehiculului electric constă în dificultatea stocării energiei electrice. Din punct de vedere al sustenabilității, se pune și problema emisiilor aferente producției de energie electrică, dominată de combustibilii fosili. Pe termen lung însă, autovehiculele electrice sunt de așteptat să dețină un rol central, pe măsură ce crește eficiența bateriilor, respectiv producția în cantități mari a energiei electrice curate.</w:t>
      </w:r>
    </w:p>
    <w:p w14:paraId="22B86029" w14:textId="77777777" w:rsidR="00F14A04" w:rsidRPr="007C266E" w:rsidRDefault="00F14A04" w:rsidP="009E5804">
      <w:pPr>
        <w:spacing w:after="0" w:line="240" w:lineRule="auto"/>
        <w:jc w:val="both"/>
        <w:rPr>
          <w:rFonts w:ascii="Times New Roman" w:hAnsi="Times New Roman" w:cs="Times New Roman"/>
          <w:sz w:val="23"/>
          <w:szCs w:val="23"/>
          <w:lang w:val="ro-RO"/>
        </w:rPr>
      </w:pPr>
    </w:p>
    <w:p w14:paraId="164DD3B9" w14:textId="77777777" w:rsidR="00F14A04" w:rsidRPr="007C266E" w:rsidRDefault="00F14A04" w:rsidP="009E5804">
      <w:pPr>
        <w:spacing w:after="0" w:line="240" w:lineRule="auto"/>
        <w:jc w:val="both"/>
        <w:rPr>
          <w:rFonts w:ascii="Times New Roman" w:hAnsi="Times New Roman" w:cs="Times New Roman"/>
          <w:color w:val="FF0000"/>
          <w:sz w:val="23"/>
          <w:szCs w:val="23"/>
          <w:lang w:val="ro-RO"/>
        </w:rPr>
      </w:pPr>
      <w:r w:rsidRPr="007C266E">
        <w:rPr>
          <w:rFonts w:ascii="Times New Roman" w:hAnsi="Times New Roman" w:cs="Times New Roman"/>
          <w:sz w:val="23"/>
          <w:szCs w:val="23"/>
          <w:lang w:val="ro-RO"/>
        </w:rPr>
        <w:t>Tranziția de la motorul cu ardere internă către cel electric este probabil să aibă loc trecând prin etapa intermediară a autovehiculelor hibride (echipate cu ambele tipuri de motor), cu sau fără alimentare din rețeaua de energie electrică. Cea mai timpurie dezvoltare o vor avea autovehiculele hibride pentru care motorul electric are doar un rol marginal, la viteze mici, în traficul urban.</w:t>
      </w:r>
      <w:r w:rsidRPr="007C266E">
        <w:rPr>
          <w:rFonts w:ascii="Times New Roman" w:hAnsi="Times New Roman" w:cs="Times New Roman"/>
          <w:color w:val="FF0000"/>
          <w:sz w:val="23"/>
          <w:szCs w:val="23"/>
          <w:lang w:val="ro-RO"/>
        </w:rPr>
        <w:t xml:space="preserve"> </w:t>
      </w:r>
    </w:p>
    <w:p w14:paraId="42C016FB" w14:textId="77777777" w:rsidR="00F14A04" w:rsidRPr="007C266E" w:rsidRDefault="00F14A04" w:rsidP="009E5804">
      <w:pPr>
        <w:spacing w:after="0" w:line="240" w:lineRule="auto"/>
        <w:jc w:val="both"/>
        <w:rPr>
          <w:rFonts w:ascii="Times New Roman" w:hAnsi="Times New Roman" w:cs="Times New Roman"/>
          <w:sz w:val="23"/>
          <w:szCs w:val="23"/>
          <w:lang w:val="ro-RO"/>
        </w:rPr>
      </w:pPr>
    </w:p>
    <w:p w14:paraId="5E3E6C8E" w14:textId="77777777" w:rsidR="00F14A04" w:rsidRPr="007C266E" w:rsidRDefault="00F14A04"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Etapa a doua va consta în creșterea numărului de autovehicule hibride de tip plug-in, a căror baterie de capacitate medie se poate încărca de la o sursă externă de energie electrică. </w:t>
      </w:r>
    </w:p>
    <w:p w14:paraId="1BD76778" w14:textId="77777777" w:rsidR="00F14A04" w:rsidRPr="007C266E" w:rsidRDefault="00F14A04" w:rsidP="009E5804">
      <w:pPr>
        <w:spacing w:after="0" w:line="240" w:lineRule="auto"/>
        <w:jc w:val="both"/>
        <w:rPr>
          <w:rFonts w:ascii="Times New Roman" w:hAnsi="Times New Roman" w:cs="Times New Roman"/>
          <w:sz w:val="23"/>
          <w:szCs w:val="23"/>
          <w:lang w:val="ro-RO"/>
        </w:rPr>
      </w:pPr>
    </w:p>
    <w:p w14:paraId="31A91EF1" w14:textId="77777777" w:rsidR="00F14A04" w:rsidRPr="007C266E" w:rsidRDefault="00F14A04"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fine, a treia etapă va consta în creșterea rapidă a ponderii autovehiculelor pur electrice, cu baterii de mare capacitate, pe măsură ce costul lor scade, iar energia electrică provine în </w:t>
      </w:r>
      <w:r w:rsidR="00C162BA" w:rsidRPr="007C266E">
        <w:rPr>
          <w:rFonts w:ascii="Times New Roman" w:hAnsi="Times New Roman" w:cs="Times New Roman"/>
          <w:sz w:val="23"/>
          <w:szCs w:val="23"/>
          <w:lang w:val="ro-RO"/>
        </w:rPr>
        <w:t xml:space="preserve">cea </w:t>
      </w:r>
      <w:r w:rsidRPr="007C266E">
        <w:rPr>
          <w:rFonts w:ascii="Times New Roman" w:hAnsi="Times New Roman" w:cs="Times New Roman"/>
          <w:sz w:val="23"/>
          <w:szCs w:val="23"/>
          <w:lang w:val="ro-RO"/>
        </w:rPr>
        <w:t>mai mare parte din surse cu emisii scăzute de GES.</w:t>
      </w:r>
    </w:p>
    <w:p w14:paraId="4014CDCE" w14:textId="77777777" w:rsidR="00E32282" w:rsidRPr="007C266E" w:rsidRDefault="00E32282"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Scenariile de dezvoltare analizate estimează tranziția României către electromobilitate în perioada 2030-2050. Aceasta va depinde de evoluția pieței la nivel național și european și susținerea investițiilor necesare pentru dezvoltarea infrastructurii publice de reîncărcare. În perspectiva tranziției României către electromobilitate și condiționat de contextul de piață, ar putea deveni oportună susținerea prin intermediul unor scheme de sprijin, coordonată cu dezvoltarea industriei autovehiculelor electrice în România.</w:t>
      </w:r>
    </w:p>
    <w:p w14:paraId="792831E6" w14:textId="77777777" w:rsidR="00F14A04" w:rsidRPr="007C266E" w:rsidRDefault="00F14A04" w:rsidP="009E5804">
      <w:pPr>
        <w:spacing w:after="0" w:line="240" w:lineRule="auto"/>
        <w:jc w:val="both"/>
        <w:rPr>
          <w:rFonts w:ascii="Times New Roman" w:hAnsi="Times New Roman" w:cs="Times New Roman"/>
          <w:color w:val="FF0000"/>
          <w:sz w:val="23"/>
          <w:szCs w:val="23"/>
          <w:lang w:val="ro-RO"/>
        </w:rPr>
      </w:pPr>
    </w:p>
    <w:p w14:paraId="160F2B22" w14:textId="77777777" w:rsidR="00F716F6" w:rsidRPr="007C266E" w:rsidRDefault="00E32282"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Se estimează că </w:t>
      </w:r>
      <w:r w:rsidR="00F14A04" w:rsidRPr="007C266E">
        <w:rPr>
          <w:rFonts w:ascii="Times New Roman" w:hAnsi="Times New Roman" w:cs="Times New Roman"/>
          <w:sz w:val="23"/>
          <w:szCs w:val="23"/>
          <w:lang w:val="ro-RO"/>
        </w:rPr>
        <w:t>, aproape 60% din parcul auto ar urma să aibă, în 2050, o formă de propulsie electrică. Dintre autovehiculele pe motorină și benzină, o bună parte ar putea folosi produse energetice pe bază de biomasă. Bineînțeles, tranziția către electromobilitate poate avea loc mai rapid sau mai lent, în funcție de evoluția factorilor principali explicați mai sus.</w:t>
      </w:r>
    </w:p>
    <w:p w14:paraId="5EF68474" w14:textId="77777777" w:rsidR="00C43C61" w:rsidRPr="007C266E" w:rsidRDefault="00C43C61" w:rsidP="009E5804">
      <w:pPr>
        <w:spacing w:after="0" w:line="240" w:lineRule="auto"/>
        <w:jc w:val="both"/>
        <w:rPr>
          <w:rFonts w:ascii="Times New Roman" w:hAnsi="Times New Roman" w:cs="Times New Roman"/>
          <w:color w:val="FF0000"/>
          <w:sz w:val="23"/>
          <w:szCs w:val="23"/>
          <w:lang w:val="ro-RO"/>
        </w:rPr>
      </w:pPr>
    </w:p>
    <w:p w14:paraId="32442C76"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C6A67EE" w14:textId="77777777" w:rsidR="00C43C61" w:rsidRPr="007C266E" w:rsidRDefault="00C43C61"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 xml:space="preserve">Participarea </w:t>
      </w:r>
      <w:r w:rsidR="00AA210B" w:rsidRPr="007C266E">
        <w:rPr>
          <w:rFonts w:ascii="Times New Roman" w:hAnsi="Times New Roman" w:cs="Times New Roman"/>
          <w:b/>
          <w:sz w:val="23"/>
          <w:szCs w:val="23"/>
          <w:lang w:val="ro-RO"/>
        </w:rPr>
        <w:t xml:space="preserve">României </w:t>
      </w:r>
      <w:r w:rsidRPr="007C266E">
        <w:rPr>
          <w:rFonts w:ascii="Times New Roman" w:hAnsi="Times New Roman" w:cs="Times New Roman"/>
          <w:b/>
          <w:sz w:val="23"/>
          <w:szCs w:val="23"/>
          <w:lang w:val="ro-RO"/>
        </w:rPr>
        <w:t>la atingerea țintelor UE28 în 2030 și 2050</w:t>
      </w:r>
    </w:p>
    <w:p w14:paraId="19221717"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4BDC8A1F"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România își va îndeplini angajamentul european cu privire la țintele naționale pentru eficiența energetică, energia regenerabilă și emisiile de GES pentru anul 2020, un efort susținut suplimentar fiind necesar pentru creșterea cotei de SRE în transporturi (SRE-T) la 10%. Efortul strategic în următorii ani va consta în principal în imprimarea unei direcții de </w:t>
      </w:r>
      <w:r w:rsidR="00E32282" w:rsidRPr="007C266E">
        <w:rPr>
          <w:rFonts w:ascii="Times New Roman" w:hAnsi="Times New Roman" w:cs="Times New Roman"/>
          <w:sz w:val="23"/>
          <w:szCs w:val="23"/>
          <w:lang w:val="ro-RO"/>
        </w:rPr>
        <w:t xml:space="preserve">dezvoltare a sectorului energetic în linie cu obiectivele strategice prioritare și </w:t>
      </w:r>
      <w:r w:rsidR="005B3547" w:rsidRPr="007C266E">
        <w:rPr>
          <w:rFonts w:ascii="Times New Roman" w:hAnsi="Times New Roman" w:cs="Times New Roman"/>
          <w:sz w:val="23"/>
          <w:szCs w:val="23"/>
          <w:lang w:val="ro-RO"/>
        </w:rPr>
        <w:t xml:space="preserve">obiectivul </w:t>
      </w:r>
      <w:r w:rsidR="005B3547" w:rsidRPr="007C266E">
        <w:rPr>
          <w:rFonts w:ascii="Times New Roman" w:hAnsi="Times New Roman" w:cs="Times New Roman"/>
          <w:sz w:val="23"/>
          <w:szCs w:val="23"/>
          <w:lang w:val="ro-RO"/>
        </w:rPr>
        <w:lastRenderedPageBreak/>
        <w:t>UE de a atinge un nivel de emisii „net zero” la nivelul anului 2050</w:t>
      </w:r>
      <w:r w:rsidRPr="007C266E">
        <w:rPr>
          <w:rFonts w:ascii="Times New Roman" w:hAnsi="Times New Roman" w:cs="Times New Roman"/>
          <w:sz w:val="23"/>
          <w:szCs w:val="23"/>
          <w:lang w:val="ro-RO"/>
        </w:rPr>
        <w:t xml:space="preserve">. </w:t>
      </w:r>
    </w:p>
    <w:p w14:paraId="66ABAD03" w14:textId="77777777" w:rsidR="00850D8E" w:rsidRPr="007C266E" w:rsidRDefault="00850D8E" w:rsidP="009E5804">
      <w:pPr>
        <w:spacing w:after="0" w:line="240" w:lineRule="auto"/>
        <w:jc w:val="both"/>
        <w:rPr>
          <w:rFonts w:ascii="Times New Roman" w:hAnsi="Times New Roman" w:cs="Times New Roman"/>
          <w:sz w:val="23"/>
          <w:szCs w:val="23"/>
          <w:lang w:val="ro-RO"/>
        </w:rPr>
      </w:pPr>
    </w:p>
    <w:p w14:paraId="63193F8D"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acest context, sunt prezentate </w:t>
      </w:r>
      <w:r w:rsidR="0005385C" w:rsidRPr="007C266E">
        <w:rPr>
          <w:rFonts w:ascii="Times New Roman" w:hAnsi="Times New Roman" w:cs="Times New Roman"/>
          <w:sz w:val="23"/>
          <w:szCs w:val="23"/>
          <w:lang w:val="ro-RO"/>
        </w:rPr>
        <w:t xml:space="preserve">în continuare </w:t>
      </w:r>
      <w:r w:rsidR="00542993" w:rsidRPr="007C266E">
        <w:rPr>
          <w:rFonts w:ascii="Times New Roman" w:hAnsi="Times New Roman" w:cs="Times New Roman"/>
          <w:sz w:val="23"/>
          <w:szCs w:val="23"/>
          <w:lang w:val="ro-RO"/>
        </w:rPr>
        <w:t>țintele naționale care contribuie la atingerea obiectivelor UE pentru</w:t>
      </w:r>
      <w:r w:rsidRPr="007C266E">
        <w:rPr>
          <w:rFonts w:ascii="Times New Roman" w:hAnsi="Times New Roman" w:cs="Times New Roman"/>
          <w:sz w:val="23"/>
          <w:szCs w:val="23"/>
          <w:lang w:val="ro-RO"/>
        </w:rPr>
        <w:t xml:space="preserve"> 2030, cu privire la cota de SRE, emisii de GES și eficiență energetică. </w:t>
      </w:r>
    </w:p>
    <w:p w14:paraId="5AA800E7" w14:textId="77777777" w:rsidR="00850D8E" w:rsidRPr="007C266E" w:rsidRDefault="00850D8E" w:rsidP="009E5804">
      <w:pPr>
        <w:spacing w:after="0" w:line="240" w:lineRule="auto"/>
        <w:jc w:val="both"/>
        <w:rPr>
          <w:rFonts w:ascii="Times New Roman" w:hAnsi="Times New Roman" w:cs="Times New Roman"/>
          <w:sz w:val="23"/>
          <w:szCs w:val="23"/>
          <w:lang w:val="ro-RO"/>
        </w:rPr>
      </w:pPr>
    </w:p>
    <w:p w14:paraId="7A378158"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Reducerea emisiilor de gaze cu efect de seră</w:t>
      </w:r>
    </w:p>
    <w:p w14:paraId="3E6A0E98"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05BEC05A" w14:textId="4AA47C4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România își redusese în 2015 emisiile de GES cu 54% față de 1990, mult peste nivelul mediu de 20% stabilit ca țintă UE28 pentru 2020 și ținta de 40% pentru 2030. Scăderea este, în primul rând</w:t>
      </w:r>
      <w:r w:rsidR="00F1486D">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rezultatul unui proces amplu și dificil de transformare a sectorului industrial, ce poate fi considerat în bună măsură încheiat. </w:t>
      </w:r>
    </w:p>
    <w:p w14:paraId="01E5FC17" w14:textId="77777777" w:rsidR="00850D8E" w:rsidRPr="007C266E" w:rsidRDefault="00850D8E" w:rsidP="009E5804">
      <w:pPr>
        <w:spacing w:after="0" w:line="240" w:lineRule="auto"/>
        <w:jc w:val="both"/>
        <w:rPr>
          <w:rFonts w:ascii="Times New Roman" w:hAnsi="Times New Roman" w:cs="Times New Roman"/>
          <w:sz w:val="23"/>
          <w:szCs w:val="23"/>
          <w:lang w:val="ro-RO"/>
        </w:rPr>
      </w:pPr>
    </w:p>
    <w:p w14:paraId="6F04A517" w14:textId="77777777" w:rsidR="00850D8E"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Industria rămâne principalul motor de creștere economică sustenabilă pentru România și are premise foarte bune de dezvoltare în deceniile următoare, în special în producția de mașini, utilaje și echipamente, cu valoare adăugată tot mai ridicată. </w:t>
      </w:r>
      <w:r w:rsidR="0005385C" w:rsidRPr="007C266E">
        <w:rPr>
          <w:rFonts w:ascii="Times New Roman" w:hAnsi="Times New Roman" w:cs="Times New Roman"/>
          <w:sz w:val="23"/>
          <w:szCs w:val="23"/>
          <w:lang w:val="ro-RO"/>
        </w:rPr>
        <w:t>Se estimează că, pe termen scurt, creșterea eficienței energetice și scăderea emisiilor de GES nu vor mai avansa în același ritm. Scăderea emisiilor de GES va avea loc într-un ritm mult mai lent decât cel din ultimii 25 de ani, ca rezultat al investițiilor susținute în acestă direcție. Un rol important îl vor avea însă eficientizarea consumului de energie și creșterea ponderii energiilor curate în mixul energetic.</w:t>
      </w:r>
      <w:r w:rsidR="0005385C" w:rsidRPr="007C266E" w:rsidDel="0005385C">
        <w:rPr>
          <w:rFonts w:ascii="Times New Roman" w:hAnsi="Times New Roman" w:cs="Times New Roman"/>
          <w:sz w:val="23"/>
          <w:szCs w:val="23"/>
          <w:lang w:val="ro-RO"/>
        </w:rPr>
        <w:t xml:space="preserve"> </w:t>
      </w:r>
    </w:p>
    <w:p w14:paraId="203E600A" w14:textId="23409F83" w:rsidR="00ED1AA3"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Pentru 2030, </w:t>
      </w:r>
      <w:r w:rsidR="00ED1AA3" w:rsidRPr="007C266E">
        <w:rPr>
          <w:rFonts w:ascii="Times New Roman" w:hAnsi="Times New Roman" w:cs="Times New Roman"/>
          <w:sz w:val="23"/>
          <w:szCs w:val="23"/>
          <w:lang w:val="ro-RO"/>
        </w:rPr>
        <w:t xml:space="preserve">România își propune să aducă o contribuție echitabilă la realizarea țintei de decarbonare a Uniunii Europene și va urma cele mai bune practici de protecție a mediului. Aplicarea schemei EU-ETS și respectarea țintelor anuale de emisii pentru sectoarele non-ETS reprezintă angajamentele principale pentru realizarea țintelor. Pentru sectoarele care fac obiectul schemei EU-ETS, obiectivul general al României de reducere a emisiilor se ridică la  aproximativ 44% până în 2030 față de anul 2005.  </w:t>
      </w:r>
    </w:p>
    <w:p w14:paraId="13F733C8" w14:textId="77777777" w:rsidR="0005385C" w:rsidRPr="007C266E" w:rsidRDefault="0005385C"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Ca urmare a politicilor și măsurilor preconizate, emisiile GES aferente sectorului ETS sunt estimate la 39 mil. t echivalent CO2 la nivelul anului 2030.</w:t>
      </w:r>
    </w:p>
    <w:p w14:paraId="0D8A3276" w14:textId="77777777" w:rsidR="00ED1AA3" w:rsidRPr="007C266E" w:rsidRDefault="00ED1AA3"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 xml:space="preserve">Emisiile din activitățile economice non-ETS pentru perioada 2021-2030 sunt stabilite în </w:t>
      </w:r>
      <w:r w:rsidRPr="007C266E">
        <w:rPr>
          <w:rFonts w:ascii="Times New Roman" w:hAnsi="Times New Roman" w:cs="Times New Roman"/>
          <w:i/>
          <w:sz w:val="23"/>
          <w:szCs w:val="23"/>
          <w:lang w:val="ro-RO"/>
        </w:rPr>
        <w:t>Regulamentul (UE) 2018/842 AL PARLAMENTULUI EUROPEAN ȘI AL CONSILIULUI din 30 mai 2018 privind reducerea anuală obligatorie a emisiilor de gaze cu efect de seră de către statele membre în perioada 2021-2030 în vederea unei contribuții la acțiunile climatice de respectare a angajamentelor asumate în temeiul Acordului de la Paris și de modificare a Regulamentului 525</w:t>
      </w:r>
      <w:r w:rsidRPr="007C266E">
        <w:rPr>
          <w:rFonts w:ascii="Times New Roman" w:hAnsi="Times New Roman" w:cs="Times New Roman"/>
          <w:sz w:val="23"/>
          <w:szCs w:val="23"/>
          <w:lang w:val="ro-RO"/>
        </w:rPr>
        <w:t xml:space="preserve">/2013/UE </w:t>
      </w:r>
    </w:p>
    <w:p w14:paraId="09BE9231" w14:textId="77777777" w:rsidR="00ED1AA3" w:rsidRPr="007C266E" w:rsidRDefault="00ED1AA3"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Pentru România, Comisia Europeană a stabilit o țintă de reducere cu 2% în 2030 față de nivelul din 2005 (Regulamentul </w:t>
      </w:r>
      <w:r w:rsidR="007907BF" w:rsidRPr="007C266E">
        <w:rPr>
          <w:rFonts w:ascii="Times New Roman" w:hAnsi="Times New Roman" w:cs="Times New Roman"/>
          <w:sz w:val="23"/>
          <w:szCs w:val="23"/>
          <w:lang w:val="ro-RO"/>
        </w:rPr>
        <w:t>(UE)</w:t>
      </w:r>
      <w:r w:rsidRPr="007C266E">
        <w:rPr>
          <w:rFonts w:ascii="Times New Roman" w:hAnsi="Times New Roman" w:cs="Times New Roman"/>
          <w:sz w:val="23"/>
          <w:szCs w:val="23"/>
          <w:lang w:val="ro-RO"/>
        </w:rPr>
        <w:t xml:space="preserve"> 2018/84</w:t>
      </w:r>
      <w:r w:rsidR="007907BF" w:rsidRPr="007C266E">
        <w:rPr>
          <w:rFonts w:ascii="Times New Roman" w:hAnsi="Times New Roman" w:cs="Times New Roman"/>
          <w:sz w:val="23"/>
          <w:szCs w:val="23"/>
          <w:lang w:val="ro-RO"/>
        </w:rPr>
        <w:t>2</w:t>
      </w:r>
      <w:r w:rsidRPr="007C266E">
        <w:rPr>
          <w:rFonts w:ascii="Times New Roman" w:hAnsi="Times New Roman" w:cs="Times New Roman"/>
          <w:sz w:val="23"/>
          <w:szCs w:val="23"/>
          <w:lang w:val="ro-RO"/>
        </w:rPr>
        <w:t xml:space="preserve">, Anexa 1 ) în timp ce media pentru UE28 este o reducere de 30%. La atingerea acestei ținte poate contribui, prin respectarea prevederilor și condițiilor aferente fiecărui SM, și implementarea </w:t>
      </w:r>
      <w:r w:rsidRPr="007C266E">
        <w:rPr>
          <w:rFonts w:ascii="Times New Roman" w:hAnsi="Times New Roman" w:cs="Times New Roman"/>
          <w:i/>
          <w:sz w:val="23"/>
          <w:szCs w:val="23"/>
          <w:lang w:val="ro-RO"/>
        </w:rPr>
        <w:t xml:space="preserve">Regulamentului (UE) 2018/841 al Parlamentului European și al Consiliului cu privire la includerea emisiilor de gaze cu efect de seră și a absorbțiilor rezultate din activități legate de exploatarea terenurilor, schimbarea destinației terenurilor și silvicultură în cadrul de politici privind clima și energia pentru 2030 și de modificare a Regulamentului nr. 525/2013/UE și a Deciziei nr. 529/2013/UE, </w:t>
      </w:r>
      <w:r w:rsidRPr="007C266E">
        <w:rPr>
          <w:rFonts w:ascii="Times New Roman" w:hAnsi="Times New Roman" w:cs="Times New Roman"/>
          <w:sz w:val="23"/>
          <w:szCs w:val="23"/>
          <w:lang w:val="ro-RO"/>
        </w:rPr>
        <w:t xml:space="preserve">printr-o compensare de maxim 13,4 milioane tone CO2 echivalent pentru perioada 2021-2030.  </w:t>
      </w:r>
    </w:p>
    <w:p w14:paraId="6EFB138D" w14:textId="77777777" w:rsidR="00ED1AA3" w:rsidRPr="007C266E" w:rsidRDefault="00ED1AA3"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Potrivit proiecțiilor efectuate în cadrul elaborării PNIESC, emisiile GES totale </w:t>
      </w:r>
      <w:r w:rsidR="0005385C" w:rsidRPr="007C266E">
        <w:rPr>
          <w:rFonts w:ascii="Times New Roman" w:hAnsi="Times New Roman" w:cs="Times New Roman"/>
          <w:sz w:val="23"/>
          <w:szCs w:val="23"/>
          <w:lang w:val="ro-RO"/>
        </w:rPr>
        <w:t xml:space="preserve">estimate </w:t>
      </w:r>
      <w:r w:rsidRPr="007C266E">
        <w:rPr>
          <w:rFonts w:ascii="Times New Roman" w:hAnsi="Times New Roman" w:cs="Times New Roman"/>
          <w:sz w:val="23"/>
          <w:szCs w:val="23"/>
          <w:lang w:val="ro-RO"/>
        </w:rPr>
        <w:t>în 2030 (EU-ETS și non-ETS, excluzând LULUCF) vor fi de 118,35 mil. t CO2 echivalent.</w:t>
      </w:r>
    </w:p>
    <w:p w14:paraId="3129F971" w14:textId="77777777" w:rsidR="00ED1AA3" w:rsidRPr="007C266E" w:rsidRDefault="00ED1AA3"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Așadar, România va contribui la procesul de decarbonare al UE28, având în vedere </w:t>
      </w:r>
      <w:r w:rsidR="0005385C" w:rsidRPr="007C266E">
        <w:rPr>
          <w:rFonts w:ascii="Times New Roman" w:hAnsi="Times New Roman" w:cs="Times New Roman"/>
          <w:sz w:val="23"/>
          <w:szCs w:val="23"/>
          <w:lang w:val="ro-RO"/>
        </w:rPr>
        <w:t xml:space="preserve">estimarea </w:t>
      </w:r>
      <w:r w:rsidRPr="007C266E">
        <w:rPr>
          <w:rFonts w:ascii="Times New Roman" w:hAnsi="Times New Roman" w:cs="Times New Roman"/>
          <w:sz w:val="23"/>
          <w:szCs w:val="23"/>
          <w:lang w:val="ro-RO"/>
        </w:rPr>
        <w:t xml:space="preserve">că în 2030 totalul emisiilor de gaze cu efect de seră în sectoarele economiei naționale vor fi reduse  cu aproximativ 50% față de 1990. La această reducere vor contribui atât sectoarele cuprinse în sistemul ETS, cât și activitățile non-ETS.  </w:t>
      </w:r>
    </w:p>
    <w:p w14:paraId="32532936" w14:textId="77777777" w:rsidR="00ED1AA3" w:rsidRPr="007C266E" w:rsidRDefault="00ED1AA3"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 xml:space="preserve">Mai mult, emisiile GES ar putea fi reduse suplimentar conform scenariului </w:t>
      </w:r>
      <w:r w:rsidR="005945CD" w:rsidRPr="007C266E">
        <w:rPr>
          <w:rFonts w:ascii="Times New Roman" w:hAnsi="Times New Roman" w:cs="Times New Roman"/>
          <w:sz w:val="23"/>
          <w:szCs w:val="23"/>
          <w:lang w:val="ro-RO"/>
        </w:rPr>
        <w:t>cu măsuri adiționale din PNIESC, a</w:t>
      </w:r>
      <w:r w:rsidRPr="007C266E">
        <w:rPr>
          <w:rFonts w:ascii="Times New Roman" w:hAnsi="Times New Roman" w:cs="Times New Roman"/>
          <w:sz w:val="23"/>
          <w:szCs w:val="23"/>
          <w:lang w:val="ro-RO"/>
        </w:rPr>
        <w:t>ctualizat în urma recomandărilor COM, după finalizarea documentelor strategice elaborate de instituțiile guvernamentale din România. Astfel, următoarele raportări vor avea în vedere armonizarea cu PNIESC, urmând ca analiza menționată mai sus să fie inclusă în viitoarele revizuiri ale planului. La momentul re</w:t>
      </w:r>
      <w:r w:rsidR="005945CD" w:rsidRPr="007C266E">
        <w:rPr>
          <w:rFonts w:ascii="Times New Roman" w:hAnsi="Times New Roman" w:cs="Times New Roman"/>
          <w:sz w:val="23"/>
          <w:szCs w:val="23"/>
          <w:lang w:val="ro-RO"/>
        </w:rPr>
        <w:t xml:space="preserve">vizuirii </w:t>
      </w:r>
      <w:r w:rsidRPr="007C266E">
        <w:rPr>
          <w:rFonts w:ascii="Times New Roman" w:hAnsi="Times New Roman" w:cs="Times New Roman"/>
          <w:sz w:val="23"/>
          <w:szCs w:val="23"/>
          <w:lang w:val="ro-RO"/>
        </w:rPr>
        <w:t xml:space="preserve"> </w:t>
      </w:r>
      <w:r w:rsidR="005945CD" w:rsidRPr="007C266E">
        <w:rPr>
          <w:rFonts w:ascii="Times New Roman" w:hAnsi="Times New Roman" w:cs="Times New Roman"/>
          <w:sz w:val="23"/>
          <w:szCs w:val="23"/>
          <w:lang w:val="ro-RO"/>
        </w:rPr>
        <w:t xml:space="preserve">textului de strategie, </w:t>
      </w:r>
      <w:r w:rsidRPr="007C266E">
        <w:rPr>
          <w:rFonts w:ascii="Times New Roman" w:hAnsi="Times New Roman" w:cs="Times New Roman"/>
          <w:sz w:val="23"/>
          <w:szCs w:val="23"/>
          <w:lang w:val="ro-RO"/>
        </w:rPr>
        <w:t xml:space="preserve">Nivelul de Referință în Silvicultură (FRL) și Planul Național deContabilizare pentru Silvicultură (PNCS) erau în curs de elaborare. Actualizarea emisiilor/reținerilor de GES din sectorul LULUCF, parte a Inventarului Național de Emisii de Gaze cu Efect de Seră (INEGES), cu impact asupra determinării FRL, prognozelor de emisii/rețineri de GES, sunt la momentul actual în curs de elaborare. Raportul Bienal nr. 4 </w:t>
      </w:r>
      <w:r w:rsidR="005945CD" w:rsidRPr="007C266E">
        <w:rPr>
          <w:rFonts w:ascii="Times New Roman" w:hAnsi="Times New Roman" w:cs="Times New Roman"/>
          <w:sz w:val="23"/>
          <w:szCs w:val="23"/>
          <w:lang w:val="ro-RO"/>
        </w:rPr>
        <w:t xml:space="preserve">a avut </w:t>
      </w:r>
      <w:r w:rsidRPr="007C266E">
        <w:rPr>
          <w:rFonts w:ascii="Times New Roman" w:hAnsi="Times New Roman" w:cs="Times New Roman"/>
          <w:sz w:val="23"/>
          <w:szCs w:val="23"/>
          <w:lang w:val="ro-RO"/>
        </w:rPr>
        <w:t>termen de finalizare 31 decembrie 2019, iar restul raportărilor își urmează cursul normal în 2020 și încep cu 15 ianuarie</w:t>
      </w:r>
      <w:r w:rsidR="005945CD" w:rsidRPr="007C266E">
        <w:rPr>
          <w:rFonts w:ascii="Times New Roman" w:hAnsi="Times New Roman" w:cs="Times New Roman"/>
          <w:sz w:val="23"/>
          <w:szCs w:val="23"/>
          <w:lang w:val="ro-RO"/>
        </w:rPr>
        <w:t xml:space="preserve"> 2020</w:t>
      </w:r>
      <w:r w:rsidRPr="007C266E">
        <w:rPr>
          <w:rFonts w:ascii="Times New Roman" w:hAnsi="Times New Roman" w:cs="Times New Roman"/>
          <w:sz w:val="23"/>
          <w:szCs w:val="23"/>
          <w:lang w:val="ro-RO"/>
        </w:rPr>
        <w:t xml:space="preserve">, </w:t>
      </w:r>
      <w:r w:rsidR="00F800C4" w:rsidRPr="007C266E">
        <w:rPr>
          <w:rFonts w:ascii="Times New Roman" w:hAnsi="Times New Roman" w:cs="Times New Roman"/>
          <w:sz w:val="23"/>
          <w:szCs w:val="23"/>
          <w:lang w:val="ro-RO"/>
        </w:rPr>
        <w:t xml:space="preserve">termenul de raportare către COM și Agenția Europeană de Mediu al datelor INEGES. </w:t>
      </w:r>
    </w:p>
    <w:p w14:paraId="3B60C932" w14:textId="77777777" w:rsidR="00C43C61" w:rsidRPr="007C266E" w:rsidRDefault="00ED1AA3" w:rsidP="004B4A53">
      <w:pPr>
        <w:spacing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concluzie, obiectivele cu privire la emisiile și absorbțiile GES, precum și politicile și măsurile aferente, vor putea fi actualizate în </w:t>
      </w:r>
      <w:r w:rsidR="005945CD" w:rsidRPr="007C266E">
        <w:rPr>
          <w:rFonts w:ascii="Times New Roman" w:hAnsi="Times New Roman" w:cs="Times New Roman"/>
          <w:sz w:val="23"/>
          <w:szCs w:val="23"/>
          <w:lang w:val="ro-RO"/>
        </w:rPr>
        <w:t xml:space="preserve">cadrul </w:t>
      </w:r>
      <w:r w:rsidRPr="007C266E">
        <w:rPr>
          <w:rFonts w:ascii="Times New Roman" w:hAnsi="Times New Roman" w:cs="Times New Roman"/>
          <w:sz w:val="23"/>
          <w:szCs w:val="23"/>
          <w:lang w:val="ro-RO"/>
        </w:rPr>
        <w:t>PNIESC după finalizarea acestor documente strategice.</w:t>
      </w:r>
    </w:p>
    <w:p w14:paraId="0B134F12" w14:textId="77777777" w:rsidR="00C43C61" w:rsidRPr="007C266E" w:rsidRDefault="00C43C61" w:rsidP="00A86877">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Creșterea rolului SRE în mixul energetic</w:t>
      </w:r>
    </w:p>
    <w:p w14:paraId="7ECD1916" w14:textId="77777777" w:rsidR="00DA0593" w:rsidRPr="007C266E" w:rsidRDefault="00F11EE3" w:rsidP="00A86877">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 xml:space="preserve"> </w:t>
      </w:r>
    </w:p>
    <w:p w14:paraId="1D486000" w14:textId="77777777" w:rsidR="00F11EE3"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România ar putea introduce un mecanism de sprijin pentru dezvoltarea potențialului biomasei în forme moderne și eficiente, însă dezvoltarea parcurilor eoliene și fotovoltaice va continua, probabil, </w:t>
      </w:r>
      <w:r w:rsidR="00F800C4" w:rsidRPr="007C266E">
        <w:rPr>
          <w:rFonts w:ascii="Times New Roman" w:hAnsi="Times New Roman" w:cs="Times New Roman"/>
          <w:sz w:val="23"/>
          <w:szCs w:val="23"/>
          <w:lang w:val="ro-RO"/>
        </w:rPr>
        <w:t xml:space="preserve">în perspectiva în care </w:t>
      </w:r>
      <w:r w:rsidRPr="007C266E">
        <w:rPr>
          <w:rFonts w:ascii="Times New Roman" w:hAnsi="Times New Roman" w:cs="Times New Roman"/>
          <w:sz w:val="23"/>
          <w:szCs w:val="23"/>
          <w:lang w:val="ro-RO"/>
        </w:rPr>
        <w:t xml:space="preserve">costul acestor tehnologii le </w:t>
      </w:r>
      <w:r w:rsidR="000747AF" w:rsidRPr="007C266E">
        <w:rPr>
          <w:rFonts w:ascii="Times New Roman" w:hAnsi="Times New Roman" w:cs="Times New Roman"/>
          <w:sz w:val="23"/>
          <w:szCs w:val="23"/>
          <w:lang w:val="ro-RO"/>
        </w:rPr>
        <w:t xml:space="preserve">va </w:t>
      </w:r>
      <w:r w:rsidRPr="007C266E">
        <w:rPr>
          <w:rFonts w:ascii="Times New Roman" w:hAnsi="Times New Roman" w:cs="Times New Roman"/>
          <w:sz w:val="23"/>
          <w:szCs w:val="23"/>
          <w:lang w:val="ro-RO"/>
        </w:rPr>
        <w:t xml:space="preserve">face competitive fără scheme de sprijin. Acest lucru este de așteptat să aibă loc în următorul deceniu, prin urmare se vor construi noi capacități eoliene și fotovoltaice în România, chiar în absența unei scheme de sprijin, după anul 2020. </w:t>
      </w:r>
    </w:p>
    <w:p w14:paraId="7C978EFA" w14:textId="77777777" w:rsidR="00F11EE3" w:rsidRPr="007C266E" w:rsidRDefault="00F11EE3" w:rsidP="009E5804">
      <w:pPr>
        <w:spacing w:after="0" w:line="240" w:lineRule="auto"/>
        <w:jc w:val="both"/>
        <w:rPr>
          <w:rFonts w:ascii="Times New Roman" w:hAnsi="Times New Roman" w:cs="Times New Roman"/>
          <w:sz w:val="23"/>
          <w:szCs w:val="23"/>
          <w:lang w:val="ro-RO"/>
        </w:rPr>
      </w:pPr>
    </w:p>
    <w:p w14:paraId="5D5508C0" w14:textId="77777777" w:rsidR="00D06D37" w:rsidRPr="007C266E" w:rsidRDefault="00D06D37"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La nivelul anului 2030, România își propune atingerea unei ponderi de energie din surse regenerabile în consumul final brut de energie electrică</w:t>
      </w:r>
      <w:r w:rsidRPr="007C266E" w:rsidDel="00D06D37">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(SRE – E) de 49,4%</w:t>
      </w:r>
      <w:r w:rsidR="00594677" w:rsidRPr="007C266E">
        <w:rPr>
          <w:rFonts w:ascii="Times New Roman" w:hAnsi="Times New Roman" w:cs="Times New Roman"/>
          <w:sz w:val="23"/>
          <w:szCs w:val="23"/>
          <w:lang w:val="ro-RO"/>
        </w:rPr>
        <w:t xml:space="preserve">, de la 41% în 2020. </w:t>
      </w:r>
      <w:r w:rsidR="00EC4FAB" w:rsidRPr="007C266E">
        <w:rPr>
          <w:rFonts w:ascii="Times New Roman" w:hAnsi="Times New Roman" w:cs="Times New Roman"/>
          <w:sz w:val="23"/>
          <w:szCs w:val="23"/>
          <w:lang w:val="ro-RO"/>
        </w:rPr>
        <w:t>Evoluția acestui indicator va determina în cea mai mare măsură cota totală SRE în 2030.</w:t>
      </w:r>
    </w:p>
    <w:p w14:paraId="223D9860"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300B608F"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Ponderea SRE în consumul brut de energie finală pentru încălzire și răcire</w:t>
      </w:r>
    </w:p>
    <w:p w14:paraId="3F8424F1"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4B8A06F8" w14:textId="77777777" w:rsidR="00AA210B"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Încălzirea clădirilor și utilizarea aburului în procese industriale reprezintă </w:t>
      </w:r>
      <w:r w:rsidR="00EC4FAB" w:rsidRPr="007C266E">
        <w:rPr>
          <w:rFonts w:ascii="Times New Roman" w:hAnsi="Times New Roman" w:cs="Times New Roman"/>
          <w:sz w:val="23"/>
          <w:szCs w:val="23"/>
          <w:lang w:val="ro-RO"/>
        </w:rPr>
        <w:t>un</w:t>
      </w:r>
      <w:r w:rsidRPr="007C266E">
        <w:rPr>
          <w:rFonts w:ascii="Times New Roman" w:hAnsi="Times New Roman" w:cs="Times New Roman"/>
          <w:sz w:val="23"/>
          <w:szCs w:val="23"/>
          <w:lang w:val="ro-RO"/>
        </w:rPr>
        <w:t xml:space="preserve"> segment </w:t>
      </w:r>
      <w:r w:rsidR="00EC4FAB" w:rsidRPr="007C266E">
        <w:rPr>
          <w:rFonts w:ascii="Times New Roman" w:hAnsi="Times New Roman" w:cs="Times New Roman"/>
          <w:sz w:val="23"/>
          <w:szCs w:val="23"/>
          <w:lang w:val="ro-RO"/>
        </w:rPr>
        <w:t xml:space="preserve">important </w:t>
      </w:r>
      <w:r w:rsidRPr="007C266E">
        <w:rPr>
          <w:rFonts w:ascii="Times New Roman" w:hAnsi="Times New Roman" w:cs="Times New Roman"/>
          <w:sz w:val="23"/>
          <w:szCs w:val="23"/>
          <w:lang w:val="ro-RO"/>
        </w:rPr>
        <w:t>de consum energetic</w:t>
      </w:r>
      <w:r w:rsidR="00EC4FAB" w:rsidRPr="007C266E">
        <w:rPr>
          <w:rFonts w:ascii="Times New Roman" w:hAnsi="Times New Roman" w:cs="Times New Roman"/>
          <w:sz w:val="23"/>
          <w:szCs w:val="23"/>
          <w:lang w:val="ro-RO"/>
        </w:rPr>
        <w:t xml:space="preserve">. </w:t>
      </w:r>
      <w:r w:rsidR="00AA210B" w:rsidRPr="007C266E">
        <w:rPr>
          <w:rFonts w:ascii="Times New Roman" w:hAnsi="Times New Roman" w:cs="Times New Roman"/>
          <w:sz w:val="23"/>
          <w:szCs w:val="23"/>
          <w:lang w:val="ro-RO"/>
        </w:rPr>
        <w:t xml:space="preserve">Pentru 2030, se preconizează că România va atinge o pondere a energiei din surse regenerabile în consumul final brut de energie în sectorul încălzire și răcire de 33%. </w:t>
      </w:r>
    </w:p>
    <w:p w14:paraId="093A34A2" w14:textId="77777777" w:rsidR="00AA210B" w:rsidRPr="007C266E" w:rsidRDefault="00AA210B" w:rsidP="009E5804">
      <w:pPr>
        <w:spacing w:after="0" w:line="240" w:lineRule="auto"/>
        <w:jc w:val="both"/>
        <w:rPr>
          <w:rFonts w:ascii="Times New Roman" w:hAnsi="Times New Roman" w:cs="Times New Roman"/>
          <w:sz w:val="23"/>
          <w:szCs w:val="23"/>
          <w:lang w:val="ro-RO"/>
        </w:rPr>
      </w:pPr>
    </w:p>
    <w:p w14:paraId="1901EAD8" w14:textId="77777777" w:rsidR="00542993" w:rsidRPr="007C266E" w:rsidRDefault="00AA210B"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Conform Strategiei de Renovare pe Termen Lung, pachetele de renovare vor cuprinde tehnologii SRE precum instalarea de panouri solare, panouri fotovoltaice și pompe de căldură. Acestea vor contribui semnificativ la atingerea țintei SRE </w:t>
      </w:r>
      <w:r w:rsidR="00FF492A"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Î</w:t>
      </w:r>
      <w:r w:rsidR="00FF492A" w:rsidRPr="007C266E">
        <w:rPr>
          <w:rFonts w:ascii="Times New Roman" w:hAnsi="Times New Roman" w:cs="Times New Roman"/>
          <w:sz w:val="23"/>
          <w:szCs w:val="23"/>
          <w:lang w:val="ro-RO"/>
        </w:rPr>
        <w:t>&amp;R inclusiv și în special după anul 2030, ca rezultat a creșterii ratei de renovare în perioada 2031 – 2050.</w:t>
      </w:r>
    </w:p>
    <w:p w14:paraId="799B1896" w14:textId="77777777" w:rsidR="00C43C61" w:rsidRPr="007C266E" w:rsidRDefault="00C43C61" w:rsidP="009E5804">
      <w:pPr>
        <w:spacing w:after="0" w:line="240" w:lineRule="auto"/>
        <w:jc w:val="both"/>
        <w:rPr>
          <w:rFonts w:ascii="Times New Roman" w:hAnsi="Times New Roman" w:cs="Times New Roman"/>
          <w:sz w:val="23"/>
          <w:szCs w:val="23"/>
          <w:lang w:val="ro-RO"/>
        </w:rPr>
      </w:pPr>
    </w:p>
    <w:p w14:paraId="72BB1BE5" w14:textId="77777777" w:rsidR="00705399" w:rsidRPr="007C266E" w:rsidRDefault="00705399" w:rsidP="009E5804">
      <w:pPr>
        <w:spacing w:after="0" w:line="240" w:lineRule="auto"/>
        <w:jc w:val="both"/>
        <w:rPr>
          <w:rFonts w:ascii="Times New Roman" w:hAnsi="Times New Roman" w:cs="Times New Roman"/>
          <w:sz w:val="23"/>
          <w:szCs w:val="23"/>
          <w:lang w:val="ro-RO"/>
        </w:rPr>
      </w:pPr>
    </w:p>
    <w:p w14:paraId="0F2A1E26" w14:textId="77777777" w:rsidR="00C43C61" w:rsidRPr="007C266E" w:rsidRDefault="00C43C61"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t>Ponderea SRE în consumul brut de energie finală în transporturi (SRE-T)</w:t>
      </w:r>
    </w:p>
    <w:p w14:paraId="5DD35851"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0FF00454" w14:textId="77777777" w:rsidR="00DA0593"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România își va atinge ținta pentru SRE-T de 10% în 2020, însă este puțin probabilă o creștere ulterioară rapidă a volumului de </w:t>
      </w:r>
      <w:r w:rsidR="00AB40BF" w:rsidRPr="007C266E">
        <w:rPr>
          <w:rFonts w:ascii="Times New Roman" w:hAnsi="Times New Roman" w:cs="Times New Roman"/>
          <w:sz w:val="23"/>
          <w:szCs w:val="23"/>
          <w:lang w:val="ro-RO"/>
        </w:rPr>
        <w:t>biocarburanți</w:t>
      </w:r>
      <w:r w:rsidRPr="007C266E">
        <w:rPr>
          <w:rFonts w:ascii="Times New Roman" w:hAnsi="Times New Roman" w:cs="Times New Roman"/>
          <w:sz w:val="23"/>
          <w:szCs w:val="23"/>
          <w:lang w:val="ro-RO"/>
        </w:rPr>
        <w:t xml:space="preserve">, nu în ultimul rând din cauza considerentelor de sustenabilitate a producției lor. </w:t>
      </w:r>
    </w:p>
    <w:p w14:paraId="05E2C962" w14:textId="77777777" w:rsidR="00542993" w:rsidRPr="007C266E" w:rsidRDefault="00542993" w:rsidP="009E5804">
      <w:pPr>
        <w:spacing w:after="0" w:line="240" w:lineRule="auto"/>
        <w:jc w:val="both"/>
        <w:rPr>
          <w:rFonts w:ascii="Times New Roman" w:hAnsi="Times New Roman" w:cs="Times New Roman"/>
          <w:sz w:val="23"/>
          <w:szCs w:val="23"/>
          <w:lang w:val="ro-RO"/>
        </w:rPr>
      </w:pPr>
    </w:p>
    <w:p w14:paraId="68547749" w14:textId="77777777" w:rsidR="00C43C61" w:rsidRPr="007C266E" w:rsidRDefault="00DA0593"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În</w:t>
      </w:r>
      <w:r w:rsidR="00C43C61" w:rsidRPr="007C266E">
        <w:rPr>
          <w:rFonts w:ascii="Times New Roman" w:hAnsi="Times New Roman" w:cs="Times New Roman"/>
          <w:sz w:val="23"/>
          <w:szCs w:val="23"/>
          <w:lang w:val="ro-RO"/>
        </w:rPr>
        <w:t xml:space="preserve"> perioada 2020-2030, </w:t>
      </w:r>
      <w:r w:rsidR="00F800C4" w:rsidRPr="007C266E">
        <w:rPr>
          <w:rFonts w:ascii="Times New Roman" w:hAnsi="Times New Roman" w:cs="Times New Roman"/>
          <w:sz w:val="23"/>
          <w:szCs w:val="23"/>
          <w:lang w:val="ro-RO"/>
        </w:rPr>
        <w:t xml:space="preserve">se estimează că </w:t>
      </w:r>
      <w:r w:rsidR="00C43C61" w:rsidRPr="007C266E">
        <w:rPr>
          <w:rFonts w:ascii="Times New Roman" w:hAnsi="Times New Roman" w:cs="Times New Roman"/>
          <w:sz w:val="23"/>
          <w:szCs w:val="23"/>
          <w:lang w:val="ro-RO"/>
        </w:rPr>
        <w:t xml:space="preserve">ponderea SRE-T va crește în special ca urmare a creșterii ponderii mobilității electrice, pe segmentele feroviar și rutier. Astfel, ponderea SRE-T în 2030 </w:t>
      </w:r>
      <w:r w:rsidR="00542993" w:rsidRPr="007C266E">
        <w:rPr>
          <w:rFonts w:ascii="Times New Roman" w:hAnsi="Times New Roman" w:cs="Times New Roman"/>
          <w:sz w:val="23"/>
          <w:szCs w:val="23"/>
          <w:lang w:val="ro-RO"/>
        </w:rPr>
        <w:t>va ajunge la 14,1</w:t>
      </w:r>
      <w:r w:rsidR="00C43C61" w:rsidRPr="007C266E">
        <w:rPr>
          <w:rFonts w:ascii="Times New Roman" w:hAnsi="Times New Roman" w:cs="Times New Roman"/>
          <w:sz w:val="23"/>
          <w:szCs w:val="23"/>
          <w:lang w:val="ro-RO"/>
        </w:rPr>
        <w:t xml:space="preserve">%. </w:t>
      </w:r>
      <w:r w:rsidR="00FF492A" w:rsidRPr="007C266E">
        <w:rPr>
          <w:rFonts w:ascii="Times New Roman" w:hAnsi="Times New Roman" w:cs="Times New Roman"/>
          <w:sz w:val="23"/>
          <w:szCs w:val="23"/>
          <w:lang w:val="ro-RO"/>
        </w:rPr>
        <w:t xml:space="preserve">Această creștere </w:t>
      </w:r>
      <w:r w:rsidR="00C43C61" w:rsidRPr="007C266E">
        <w:rPr>
          <w:rFonts w:ascii="Times New Roman" w:hAnsi="Times New Roman" w:cs="Times New Roman"/>
          <w:sz w:val="23"/>
          <w:szCs w:val="23"/>
          <w:lang w:val="ro-RO"/>
        </w:rPr>
        <w:t>nu este neglijabilă, venind pe fondul unei creșteri susținute a sectorului transporturilor. Ea anticipează o creștere mult mai rapidă în perioada 2030-2050.</w:t>
      </w:r>
    </w:p>
    <w:p w14:paraId="0B711EB0" w14:textId="77777777" w:rsidR="00542993" w:rsidRPr="007C266E" w:rsidRDefault="00542993" w:rsidP="009E5804">
      <w:pPr>
        <w:spacing w:after="0" w:line="240" w:lineRule="auto"/>
        <w:jc w:val="both"/>
        <w:rPr>
          <w:rFonts w:ascii="Times New Roman" w:hAnsi="Times New Roman" w:cs="Times New Roman"/>
          <w:sz w:val="23"/>
          <w:szCs w:val="23"/>
          <w:lang w:val="ro-RO"/>
        </w:rPr>
      </w:pPr>
    </w:p>
    <w:p w14:paraId="0DB30063" w14:textId="77777777" w:rsidR="00542993" w:rsidRPr="007C266E" w:rsidRDefault="00542993" w:rsidP="009E5804">
      <w:pPr>
        <w:spacing w:after="0" w:line="240" w:lineRule="auto"/>
        <w:jc w:val="both"/>
        <w:rPr>
          <w:rFonts w:ascii="Times New Roman" w:hAnsi="Times New Roman" w:cs="Times New Roman"/>
          <w:i/>
          <w:sz w:val="23"/>
          <w:szCs w:val="23"/>
          <w:lang w:val="ro-RO"/>
        </w:rPr>
      </w:pPr>
      <w:r w:rsidRPr="007C266E">
        <w:rPr>
          <w:rFonts w:ascii="Times New Roman" w:hAnsi="Times New Roman" w:cs="Times New Roman"/>
          <w:i/>
          <w:sz w:val="23"/>
          <w:szCs w:val="23"/>
          <w:lang w:val="ro-RO"/>
        </w:rPr>
        <w:lastRenderedPageBreak/>
        <w:t xml:space="preserve">Eficiență energetică </w:t>
      </w:r>
    </w:p>
    <w:p w14:paraId="27227D27" w14:textId="77777777" w:rsidR="00542993" w:rsidRPr="007C266E" w:rsidRDefault="00542993" w:rsidP="009E5804">
      <w:pPr>
        <w:spacing w:after="0" w:line="240" w:lineRule="auto"/>
        <w:jc w:val="both"/>
        <w:rPr>
          <w:rFonts w:ascii="Times New Roman" w:hAnsi="Times New Roman" w:cs="Times New Roman"/>
          <w:b/>
          <w:sz w:val="23"/>
          <w:szCs w:val="23"/>
          <w:lang w:val="ro-RO"/>
        </w:rPr>
      </w:pPr>
    </w:p>
    <w:p w14:paraId="71281AEE" w14:textId="77777777" w:rsidR="00FF492A" w:rsidRPr="007C266E" w:rsidRDefault="00FF492A"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La nivelul anului 2030 România are drept obiectiv atingerea unui consum</w:t>
      </w:r>
      <w:r w:rsidR="00EC5051" w:rsidRPr="007C266E">
        <w:rPr>
          <w:rFonts w:ascii="Times New Roman" w:hAnsi="Times New Roman" w:cs="Times New Roman"/>
          <w:sz w:val="23"/>
          <w:szCs w:val="23"/>
          <w:lang w:val="ro-RO"/>
        </w:rPr>
        <w:t xml:space="preserve"> final de energie</w:t>
      </w:r>
      <w:r w:rsidRPr="007C266E">
        <w:rPr>
          <w:rFonts w:ascii="Times New Roman" w:hAnsi="Times New Roman" w:cs="Times New Roman"/>
          <w:sz w:val="23"/>
          <w:szCs w:val="23"/>
          <w:lang w:val="ro-RO"/>
        </w:rPr>
        <w:t xml:space="preserve"> </w:t>
      </w:r>
      <w:r w:rsidR="00EC5051" w:rsidRPr="007C266E">
        <w:rPr>
          <w:rFonts w:ascii="Times New Roman" w:hAnsi="Times New Roman" w:cs="Times New Roman"/>
          <w:sz w:val="23"/>
          <w:szCs w:val="23"/>
          <w:lang w:val="ro-RO"/>
        </w:rPr>
        <w:t xml:space="preserve">de 25,7 Mtep, însemnând o reducere cu 40,4% față de scenariul PRIMES 2007. </w:t>
      </w:r>
    </w:p>
    <w:p w14:paraId="2A9E0D88" w14:textId="77777777" w:rsidR="00EC5051" w:rsidRPr="007C266E" w:rsidRDefault="00EC5051" w:rsidP="009E5804">
      <w:pPr>
        <w:spacing w:after="0" w:line="240" w:lineRule="auto"/>
        <w:jc w:val="both"/>
        <w:rPr>
          <w:rFonts w:ascii="Times New Roman" w:hAnsi="Times New Roman" w:cs="Times New Roman"/>
          <w:sz w:val="23"/>
          <w:szCs w:val="23"/>
          <w:lang w:val="ro-RO"/>
        </w:rPr>
      </w:pPr>
    </w:p>
    <w:p w14:paraId="0C79D1A2" w14:textId="77777777" w:rsidR="00542993" w:rsidRPr="007C266E" w:rsidRDefault="00EC505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Există un potențial ridicat de realizare a economiilor de energie în sectorul rezidențial în perioada 2030 - 2050, s</w:t>
      </w:r>
      <w:r w:rsidR="00542993" w:rsidRPr="007C266E">
        <w:rPr>
          <w:rFonts w:ascii="Times New Roman" w:hAnsi="Times New Roman" w:cs="Times New Roman"/>
          <w:sz w:val="23"/>
          <w:szCs w:val="23"/>
          <w:lang w:val="ro-RO"/>
        </w:rPr>
        <w:t xml:space="preserve">tocul clădirilor din România </w:t>
      </w:r>
      <w:r w:rsidRPr="007C266E">
        <w:rPr>
          <w:rFonts w:ascii="Times New Roman" w:hAnsi="Times New Roman" w:cs="Times New Roman"/>
          <w:sz w:val="23"/>
          <w:szCs w:val="23"/>
          <w:lang w:val="ro-RO"/>
        </w:rPr>
        <w:t>având o</w:t>
      </w:r>
      <w:r w:rsidR="00542993" w:rsidRPr="007C266E">
        <w:rPr>
          <w:rFonts w:ascii="Times New Roman" w:hAnsi="Times New Roman" w:cs="Times New Roman"/>
          <w:sz w:val="23"/>
          <w:szCs w:val="23"/>
          <w:lang w:val="ro-RO"/>
        </w:rPr>
        <w:t xml:space="preserve"> eficiență energetică relativ scăzută, iar consumul specific de energie pentru încălzire și răcire </w:t>
      </w:r>
      <w:r w:rsidRPr="007C266E">
        <w:rPr>
          <w:rFonts w:ascii="Times New Roman" w:hAnsi="Times New Roman" w:cs="Times New Roman"/>
          <w:sz w:val="23"/>
          <w:szCs w:val="23"/>
          <w:lang w:val="ro-RO"/>
        </w:rPr>
        <w:t>fiind</w:t>
      </w:r>
      <w:r w:rsidR="00542993" w:rsidRPr="007C266E">
        <w:rPr>
          <w:rFonts w:ascii="Times New Roman" w:hAnsi="Times New Roman" w:cs="Times New Roman"/>
          <w:sz w:val="23"/>
          <w:szCs w:val="23"/>
          <w:lang w:val="ro-RO"/>
        </w:rPr>
        <w:t xml:space="preserve"> relativ ridicat, cu o medie națională de 157 kWh/m2/an, în condițiile în care circa jumătate din locuințe sunt încălzite doar parțial. Programele naționale de creștere a eficienței energetice, în paralel cu creșterea costurilor cu energia, vor încuraja investiții în izolarea termică a locuințelor în următorii 15 ani, în toate scenariile de dezvoltare.</w:t>
      </w:r>
    </w:p>
    <w:p w14:paraId="386BE24F" w14:textId="77777777" w:rsidR="00542993" w:rsidRPr="007C266E" w:rsidRDefault="00542993"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1DD5BBDB" w14:textId="77777777" w:rsidR="00542993" w:rsidRPr="007C266E" w:rsidRDefault="00542993"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După 2030, creșterile suplimentare ale eficienței energetice la încălzire vor fi însă mai costisitoare, presupunând lucrări mai ample și complexe de reabilitare. Strategia de Renovare pe Termen Lung prevede în cadrul scenariului optim (Scenariu 2) o rată de renovare a clădirilor de 3,79% pe an în perioada 2031 – 2040, respectiv 4,33% în perioada 2041 – 2050 și ar putea aduce economii de energie finală cumulate în valoare de 6,14 Mtep la nivelul anului 2050. </w:t>
      </w:r>
    </w:p>
    <w:p w14:paraId="2B947B27" w14:textId="77777777" w:rsidR="00542993" w:rsidRPr="007C266E" w:rsidRDefault="00542993" w:rsidP="009E5804">
      <w:pPr>
        <w:spacing w:after="0" w:line="240" w:lineRule="auto"/>
        <w:jc w:val="both"/>
        <w:rPr>
          <w:rFonts w:ascii="Times New Roman" w:hAnsi="Times New Roman" w:cs="Times New Roman"/>
          <w:sz w:val="23"/>
          <w:szCs w:val="23"/>
          <w:lang w:val="ro-RO"/>
        </w:rPr>
      </w:pPr>
    </w:p>
    <w:p w14:paraId="7A4562A7" w14:textId="77777777" w:rsidR="00542993" w:rsidRPr="007C266E" w:rsidRDefault="00542993"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Consumul total de energie al gospodăriilor va urma în bună măsură necesarul pentru încălzire și răcire. Cererea de energie a gospodăriilor pentru gătit, încălzire, iluminat, electronice și electrocasnice, este de așteptat să crească foarte puțin, ca urmare a adoptării treptate a noilor tehnologii de ecodesign, cu consum specific tot mai scăzut. </w:t>
      </w:r>
    </w:p>
    <w:p w14:paraId="52E6988D" w14:textId="77777777" w:rsidR="00AA210B" w:rsidRPr="007C266E" w:rsidRDefault="00AA210B" w:rsidP="009E5804">
      <w:pPr>
        <w:spacing w:after="0" w:line="240" w:lineRule="auto"/>
        <w:jc w:val="both"/>
        <w:rPr>
          <w:rFonts w:ascii="Times New Roman" w:hAnsi="Times New Roman" w:cs="Times New Roman"/>
          <w:sz w:val="23"/>
          <w:szCs w:val="23"/>
          <w:lang w:val="ro-RO"/>
        </w:rPr>
      </w:pPr>
    </w:p>
    <w:p w14:paraId="73774B09" w14:textId="77777777" w:rsidR="00EF592B" w:rsidRPr="007C266E" w:rsidRDefault="00EC505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Promovarea consumului dispecerizabil </w:t>
      </w:r>
      <w:r w:rsidR="00F800C4" w:rsidRPr="007C266E">
        <w:rPr>
          <w:rFonts w:ascii="Times New Roman" w:hAnsi="Times New Roman" w:cs="Times New Roman"/>
          <w:sz w:val="23"/>
          <w:szCs w:val="23"/>
          <w:lang w:val="ro-RO"/>
        </w:rPr>
        <w:t xml:space="preserve">are, </w:t>
      </w:r>
      <w:r w:rsidRPr="007C266E">
        <w:rPr>
          <w:rFonts w:ascii="Times New Roman" w:hAnsi="Times New Roman" w:cs="Times New Roman"/>
          <w:sz w:val="23"/>
          <w:szCs w:val="23"/>
          <w:lang w:val="ro-RO"/>
        </w:rPr>
        <w:t>de asemenea</w:t>
      </w:r>
      <w:r w:rsidR="00F800C4" w:rsidRPr="007C266E">
        <w:rPr>
          <w:rFonts w:ascii="Times New Roman" w:hAnsi="Times New Roman" w:cs="Times New Roman"/>
          <w:sz w:val="23"/>
          <w:szCs w:val="23"/>
          <w:lang w:val="ro-RO"/>
        </w:rPr>
        <w:t>,</w:t>
      </w:r>
      <w:r w:rsidRPr="007C266E">
        <w:rPr>
          <w:rFonts w:ascii="Times New Roman" w:hAnsi="Times New Roman" w:cs="Times New Roman"/>
          <w:sz w:val="23"/>
          <w:szCs w:val="23"/>
          <w:lang w:val="ro-RO"/>
        </w:rPr>
        <w:t xml:space="preserve"> multiple beneficii în vederea realizării economiilor de energie prin prisma faptului că acest lucru permite consumatorului final să își ajusteze în mod voluntar cererea, reducând astfel consumul. Implementarea </w:t>
      </w:r>
      <w:r w:rsidR="00EF592B" w:rsidRPr="007C266E">
        <w:rPr>
          <w:rFonts w:ascii="Times New Roman" w:hAnsi="Times New Roman" w:cs="Times New Roman"/>
          <w:sz w:val="23"/>
          <w:szCs w:val="23"/>
          <w:lang w:val="ro-RO"/>
        </w:rPr>
        <w:lastRenderedPageBreak/>
        <w:t xml:space="preserve">tehnologiilor tip „smart meters” și dezvoltarea </w:t>
      </w:r>
      <w:r w:rsidRPr="007C266E">
        <w:rPr>
          <w:rFonts w:ascii="Times New Roman" w:hAnsi="Times New Roman" w:cs="Times New Roman"/>
          <w:sz w:val="23"/>
          <w:szCs w:val="23"/>
          <w:lang w:val="ro-RO"/>
        </w:rPr>
        <w:t>rețelelor inteligente vor contribui de asemenea la atingerea acestui obiectiv.</w:t>
      </w:r>
    </w:p>
    <w:p w14:paraId="4286951A" w14:textId="77777777" w:rsidR="00EF592B" w:rsidRPr="007C266E" w:rsidRDefault="00EF592B" w:rsidP="009E5804">
      <w:pPr>
        <w:spacing w:after="0" w:line="240" w:lineRule="auto"/>
        <w:jc w:val="both"/>
        <w:rPr>
          <w:rFonts w:ascii="Times New Roman" w:hAnsi="Times New Roman" w:cs="Times New Roman"/>
          <w:sz w:val="23"/>
          <w:szCs w:val="23"/>
          <w:lang w:val="ro-RO"/>
        </w:rPr>
      </w:pPr>
    </w:p>
    <w:p w14:paraId="4012D199" w14:textId="77777777" w:rsidR="00EF592B" w:rsidRPr="007C266E" w:rsidRDefault="00EF592B" w:rsidP="009E5804">
      <w:pPr>
        <w:spacing w:after="0" w:line="240" w:lineRule="auto"/>
        <w:jc w:val="both"/>
        <w:rPr>
          <w:rFonts w:ascii="Times New Roman" w:hAnsi="Times New Roman" w:cs="Times New Roman"/>
          <w:b/>
          <w:sz w:val="23"/>
          <w:szCs w:val="23"/>
          <w:lang w:val="ro-RO"/>
        </w:rPr>
      </w:pPr>
      <w:r w:rsidRPr="007C266E">
        <w:rPr>
          <w:rFonts w:ascii="Times New Roman" w:hAnsi="Times New Roman" w:cs="Times New Roman"/>
          <w:b/>
          <w:sz w:val="23"/>
          <w:szCs w:val="23"/>
          <w:lang w:val="ro-RO"/>
        </w:rPr>
        <w:t>Schimbarea climatică în România</w:t>
      </w:r>
    </w:p>
    <w:p w14:paraId="2CFFBB8A" w14:textId="77777777" w:rsidR="00EF592B" w:rsidRPr="007C266E" w:rsidRDefault="00EF592B" w:rsidP="009E5804">
      <w:pPr>
        <w:spacing w:after="0" w:line="240" w:lineRule="auto"/>
        <w:jc w:val="both"/>
        <w:rPr>
          <w:rFonts w:ascii="Times New Roman" w:hAnsi="Times New Roman" w:cs="Times New Roman"/>
          <w:b/>
          <w:sz w:val="23"/>
          <w:szCs w:val="23"/>
          <w:lang w:val="ro-RO"/>
        </w:rPr>
      </w:pPr>
    </w:p>
    <w:p w14:paraId="69CA789E" w14:textId="77777777" w:rsidR="00EF592B" w:rsidRPr="007C266E" w:rsidRDefault="00EF592B"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Pentru viitorul apropiat (2021-2050), la nivelul României, rezultatele modelelor climatice analizate indică o creștere medie a temperaturii lunare în cea mai caldă luna a anului de peste 4°C și o reducere medie a cantității lunare de precipitații de până la 15 % în timpul verii, în cel mai pesimist scenariu (Bojariu et al, 2020).</w:t>
      </w:r>
    </w:p>
    <w:p w14:paraId="17823D49" w14:textId="77777777" w:rsidR="00EF592B" w:rsidRPr="007C266E" w:rsidRDefault="00EF592B" w:rsidP="009E5804">
      <w:pPr>
        <w:spacing w:after="0" w:line="240" w:lineRule="auto"/>
        <w:jc w:val="both"/>
        <w:rPr>
          <w:rFonts w:ascii="Times New Roman" w:hAnsi="Times New Roman" w:cs="Times New Roman"/>
          <w:sz w:val="23"/>
          <w:szCs w:val="23"/>
          <w:lang w:val="ro-RO"/>
        </w:rPr>
      </w:pPr>
    </w:p>
    <w:p w14:paraId="7A75E4F8" w14:textId="77777777" w:rsidR="00EF592B" w:rsidRPr="007C266E" w:rsidRDefault="00EF592B"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Cantitățile medii sezoniere de zăpadă vor scădea puternic pe întreg teritoriul României. Scăderea grosimii stratului de zăpadă ar putea fi mai mare de 80% (comparativ cu perioada de referință octombrie-aprilie 1971-2001) în zonele din vestul, centrul și sudul României (Bojariu et al., 2017). În munți, reducerea este ușor mai mică, variind de la 60% la 80% la </w:t>
      </w:r>
      <w:r w:rsidRPr="007C266E">
        <w:rPr>
          <w:rFonts w:ascii="Times New Roman" w:hAnsi="Times New Roman" w:cs="Times New Roman"/>
          <w:sz w:val="23"/>
          <w:szCs w:val="23"/>
          <w:lang w:val="ro-RO"/>
        </w:rPr>
        <w:lastRenderedPageBreak/>
        <w:t xml:space="preserve">sfârșitul secolului XXI, în condițiile scenariului pesimist (Bojariu et al., 2017). </w:t>
      </w:r>
    </w:p>
    <w:p w14:paraId="17DDFAED" w14:textId="77777777" w:rsidR="00EF592B" w:rsidRPr="007C266E" w:rsidRDefault="00EF592B" w:rsidP="009E5804">
      <w:pPr>
        <w:spacing w:after="0" w:line="240" w:lineRule="auto"/>
        <w:jc w:val="both"/>
        <w:rPr>
          <w:rFonts w:ascii="Times New Roman" w:hAnsi="Times New Roman" w:cs="Times New Roman"/>
          <w:sz w:val="23"/>
          <w:szCs w:val="23"/>
          <w:lang w:val="ro-RO"/>
        </w:rPr>
      </w:pPr>
    </w:p>
    <w:p w14:paraId="39F02140" w14:textId="77777777" w:rsidR="00EF592B" w:rsidRPr="007C266E" w:rsidRDefault="00EF592B"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Analiza mediei ansamblului a 5 modele regionale arată o creștere a cantității de zăpadă ce se topește, în regiunea montană a României, în contextul schimbărilor climatice. Această creștere conduce la un risc crescut de inundații rapide în regiunile muntoase, în sezonul rece (octombrie aprilie) (Bojariu et al., 2017).</w:t>
      </w:r>
    </w:p>
    <w:p w14:paraId="4C387535" w14:textId="77777777" w:rsidR="00EF592B" w:rsidRPr="007C266E" w:rsidRDefault="00EF592B" w:rsidP="009E5804">
      <w:pPr>
        <w:autoSpaceDE w:val="0"/>
        <w:autoSpaceDN w:val="0"/>
        <w:adjustRightInd w:val="0"/>
        <w:spacing w:after="0" w:line="240" w:lineRule="auto"/>
        <w:rPr>
          <w:rFonts w:ascii="Times New Roman" w:hAnsi="Times New Roman" w:cs="Times New Roman"/>
          <w:sz w:val="23"/>
          <w:szCs w:val="23"/>
          <w:lang w:val="ro-RO"/>
        </w:rPr>
      </w:pPr>
    </w:p>
    <w:p w14:paraId="2CF54DBE" w14:textId="77777777" w:rsidR="00EF592B" w:rsidRPr="007C266E" w:rsidRDefault="00EF592B" w:rsidP="009E5804">
      <w:pPr>
        <w:autoSpaceDE w:val="0"/>
        <w:autoSpaceDN w:val="0"/>
        <w:adjustRightInd w:val="0"/>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Proiecțiile arată că se produc schimbări ale temperaturii medii și ale precipitațiilor odată cu modificările statisticilor fenomenelor extreme (cum ar fi creșterea frecvenței și intensității valurilor de căldură, creșterea intensității precipitațiilor).</w:t>
      </w:r>
    </w:p>
    <w:p w14:paraId="59B4438B" w14:textId="77777777" w:rsidR="00EF592B" w:rsidRPr="007C266E" w:rsidRDefault="00EF592B" w:rsidP="009E5804">
      <w:pPr>
        <w:autoSpaceDE w:val="0"/>
        <w:autoSpaceDN w:val="0"/>
        <w:adjustRightInd w:val="0"/>
        <w:spacing w:after="0" w:line="240" w:lineRule="auto"/>
        <w:rPr>
          <w:rFonts w:ascii="Times New Roman" w:hAnsi="Times New Roman" w:cs="Times New Roman"/>
          <w:sz w:val="23"/>
          <w:szCs w:val="23"/>
          <w:lang w:val="ro-RO"/>
        </w:rPr>
      </w:pPr>
    </w:p>
    <w:p w14:paraId="73901D4F" w14:textId="77777777" w:rsidR="00EF592B" w:rsidRPr="007C266E" w:rsidRDefault="00EF592B" w:rsidP="009E5804">
      <w:pPr>
        <w:autoSpaceDE w:val="0"/>
        <w:autoSpaceDN w:val="0"/>
        <w:adjustRightInd w:val="0"/>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În acest context, </w:t>
      </w:r>
      <w:r w:rsidR="00DF7F7A" w:rsidRPr="007C266E">
        <w:rPr>
          <w:rFonts w:ascii="Times New Roman" w:hAnsi="Times New Roman" w:cs="Times New Roman"/>
          <w:sz w:val="23"/>
          <w:szCs w:val="23"/>
          <w:lang w:val="ro-RO"/>
        </w:rPr>
        <w:t xml:space="preserve">în perioada 2030 – 2050 adaptarea la schimbările climatice va fi un obiectiv național important. </w:t>
      </w:r>
    </w:p>
    <w:p w14:paraId="7AC15C87" w14:textId="77777777" w:rsidR="00F14A04" w:rsidRPr="007C266E" w:rsidRDefault="00F14A04"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br w:type="page"/>
      </w:r>
    </w:p>
    <w:p w14:paraId="6707988F" w14:textId="77777777" w:rsidR="000873EB" w:rsidRPr="007C266E" w:rsidRDefault="000873EB" w:rsidP="009E5804">
      <w:pPr>
        <w:spacing w:after="0" w:line="240" w:lineRule="auto"/>
        <w:jc w:val="both"/>
        <w:rPr>
          <w:rFonts w:ascii="Times New Roman" w:hAnsi="Times New Roman" w:cs="Times New Roman"/>
          <w:sz w:val="23"/>
          <w:szCs w:val="23"/>
          <w:lang w:val="ro-RO"/>
        </w:rPr>
        <w:sectPr w:rsidR="000873EB" w:rsidRPr="007C266E" w:rsidSect="0089425F">
          <w:type w:val="continuous"/>
          <w:pgSz w:w="12240" w:h="15840"/>
          <w:pgMar w:top="1440" w:right="1440" w:bottom="1440" w:left="1440" w:header="720" w:footer="720" w:gutter="0"/>
          <w:cols w:num="2" w:space="720"/>
          <w:docGrid w:linePitch="360"/>
        </w:sectPr>
      </w:pPr>
    </w:p>
    <w:p w14:paraId="13E1E028" w14:textId="77777777" w:rsidR="00C43C61" w:rsidRPr="007C266E" w:rsidRDefault="00C43C61" w:rsidP="004B4A53">
      <w:pPr>
        <w:pStyle w:val="Heading3"/>
        <w:spacing w:line="240" w:lineRule="auto"/>
        <w:rPr>
          <w:rFonts w:ascii="Times New Roman" w:hAnsi="Times New Roman" w:cs="Times New Roman"/>
          <w:sz w:val="23"/>
          <w:szCs w:val="23"/>
          <w:lang w:val="ro-RO"/>
        </w:rPr>
      </w:pPr>
      <w:bookmarkStart w:id="92" w:name="_Toc44400887"/>
      <w:r w:rsidRPr="007C266E">
        <w:rPr>
          <w:rFonts w:ascii="Times New Roman" w:hAnsi="Times New Roman" w:cs="Times New Roman"/>
          <w:sz w:val="23"/>
          <w:szCs w:val="23"/>
          <w:lang w:val="ro-RO"/>
        </w:rPr>
        <w:lastRenderedPageBreak/>
        <w:t>ACTUALIZAREA PERIODICĂ A STRATEGIEI ENERGETICE</w:t>
      </w:r>
      <w:bookmarkEnd w:id="92"/>
    </w:p>
    <w:p w14:paraId="5B612D34" w14:textId="77777777" w:rsidR="00C43C61" w:rsidRPr="007C266E" w:rsidRDefault="00C43C61" w:rsidP="006E1D2D">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3A101974" w14:textId="77777777" w:rsidR="00037DF2" w:rsidRPr="007C266E" w:rsidRDefault="00037DF2" w:rsidP="009E5804">
      <w:pPr>
        <w:spacing w:after="0" w:line="240" w:lineRule="auto"/>
        <w:jc w:val="both"/>
        <w:rPr>
          <w:rFonts w:ascii="Times New Roman" w:hAnsi="Times New Roman" w:cs="Times New Roman"/>
          <w:sz w:val="23"/>
          <w:szCs w:val="23"/>
          <w:lang w:val="ro-RO"/>
        </w:rPr>
        <w:sectPr w:rsidR="00037DF2" w:rsidRPr="007C266E" w:rsidSect="0089425F">
          <w:type w:val="continuous"/>
          <w:pgSz w:w="12240" w:h="15840"/>
          <w:pgMar w:top="1440" w:right="1440" w:bottom="1440" w:left="1440" w:header="720" w:footer="720" w:gutter="0"/>
          <w:cols w:space="720"/>
          <w:docGrid w:linePitch="360"/>
        </w:sectPr>
      </w:pPr>
    </w:p>
    <w:p w14:paraId="16AD50C2" w14:textId="013437C4"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 xml:space="preserve">Ministerul </w:t>
      </w:r>
      <w:r w:rsidR="00A51599" w:rsidRPr="007C266E">
        <w:rPr>
          <w:rFonts w:ascii="Times New Roman" w:hAnsi="Times New Roman" w:cs="Times New Roman"/>
          <w:sz w:val="23"/>
          <w:szCs w:val="23"/>
          <w:lang w:val="ro-RO"/>
        </w:rPr>
        <w:t xml:space="preserve">Economiei, </w:t>
      </w:r>
      <w:r w:rsidRPr="007C266E">
        <w:rPr>
          <w:rFonts w:ascii="Times New Roman" w:hAnsi="Times New Roman" w:cs="Times New Roman"/>
          <w:sz w:val="23"/>
          <w:szCs w:val="23"/>
          <w:lang w:val="ro-RO"/>
        </w:rPr>
        <w:t>Energiei</w:t>
      </w:r>
      <w:r w:rsidR="00A51599" w:rsidRPr="007C266E">
        <w:rPr>
          <w:rFonts w:ascii="Times New Roman" w:hAnsi="Times New Roman" w:cs="Times New Roman"/>
          <w:sz w:val="23"/>
          <w:szCs w:val="23"/>
          <w:lang w:val="ro-RO"/>
        </w:rPr>
        <w:t xml:space="preserve"> și Mediului de Afaceri</w:t>
      </w:r>
      <w:r w:rsidRPr="007C266E">
        <w:rPr>
          <w:rFonts w:ascii="Times New Roman" w:hAnsi="Times New Roman" w:cs="Times New Roman"/>
          <w:sz w:val="23"/>
          <w:szCs w:val="23"/>
          <w:lang w:val="ro-RO"/>
        </w:rPr>
        <w:t xml:space="preserve"> monitorizează în permanență sectorul energetic, inclusiv stadiul de implement</w:t>
      </w:r>
      <w:r w:rsidR="00521764" w:rsidRPr="007C266E">
        <w:rPr>
          <w:rFonts w:ascii="Times New Roman" w:hAnsi="Times New Roman" w:cs="Times New Roman"/>
          <w:sz w:val="23"/>
          <w:szCs w:val="23"/>
          <w:lang w:val="ro-RO"/>
        </w:rPr>
        <w:t>are a Strategiei Energetice 20</w:t>
      </w:r>
      <w:r w:rsidR="00C25967">
        <w:rPr>
          <w:rFonts w:ascii="Times New Roman" w:hAnsi="Times New Roman" w:cs="Times New Roman"/>
          <w:sz w:val="23"/>
          <w:szCs w:val="23"/>
          <w:lang w:val="ro-RO"/>
        </w:rPr>
        <w:t>20</w:t>
      </w:r>
      <w:r w:rsidRPr="007C266E">
        <w:rPr>
          <w:rFonts w:ascii="Times New Roman" w:hAnsi="Times New Roman" w:cs="Times New Roman"/>
          <w:sz w:val="23"/>
          <w:szCs w:val="23"/>
          <w:lang w:val="ro-RO"/>
        </w:rPr>
        <w:t>-2030, cu perspectiva anului 2050. Planurile de acțiune și măsurile necesare pentru îndeplinirea obiectivelor strategice vor fi urmărite îndeaproape, pentru a asigura sursele de finanțare și derularea în condiții optime a proiectelor de investiții.</w:t>
      </w:r>
    </w:p>
    <w:p w14:paraId="11FFDF3F" w14:textId="77777777" w:rsidR="0084135A" w:rsidRPr="007C266E" w:rsidRDefault="0084135A" w:rsidP="009E5804">
      <w:pPr>
        <w:spacing w:after="0" w:line="240" w:lineRule="auto"/>
        <w:jc w:val="both"/>
        <w:rPr>
          <w:rFonts w:ascii="Times New Roman" w:hAnsi="Times New Roman" w:cs="Times New Roman"/>
          <w:sz w:val="23"/>
          <w:szCs w:val="23"/>
          <w:lang w:val="ro-RO"/>
        </w:rPr>
      </w:pPr>
    </w:p>
    <w:p w14:paraId="20243347" w14:textId="77777777" w:rsidR="00C43C61" w:rsidRPr="007C266E" w:rsidRDefault="00236713"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Actualizarea </w:t>
      </w:r>
      <w:r w:rsidR="00C43C61" w:rsidRPr="007C266E">
        <w:rPr>
          <w:rFonts w:ascii="Times New Roman" w:hAnsi="Times New Roman" w:cs="Times New Roman"/>
          <w:sz w:val="23"/>
          <w:szCs w:val="23"/>
          <w:lang w:val="ro-RO"/>
        </w:rPr>
        <w:t>periodic</w:t>
      </w:r>
      <w:r w:rsidRPr="007C266E">
        <w:rPr>
          <w:rFonts w:ascii="Times New Roman" w:hAnsi="Times New Roman" w:cs="Times New Roman"/>
          <w:sz w:val="23"/>
          <w:szCs w:val="23"/>
          <w:lang w:val="ro-RO"/>
        </w:rPr>
        <w:t>ă</w:t>
      </w:r>
      <w:r w:rsidR="00C43C61" w:rsidRPr="007C266E">
        <w:rPr>
          <w:rFonts w:ascii="Times New Roman" w:hAnsi="Times New Roman" w:cs="Times New Roman"/>
          <w:sz w:val="23"/>
          <w:szCs w:val="23"/>
          <w:lang w:val="ro-RO"/>
        </w:rPr>
        <w:t xml:space="preserve"> a Strategiei ține </w:t>
      </w:r>
      <w:r w:rsidR="00BB32BD" w:rsidRPr="007C266E">
        <w:rPr>
          <w:rFonts w:ascii="Times New Roman" w:hAnsi="Times New Roman" w:cs="Times New Roman"/>
          <w:sz w:val="23"/>
          <w:szCs w:val="23"/>
          <w:lang w:val="ro-RO"/>
        </w:rPr>
        <w:t xml:space="preserve">cont </w:t>
      </w:r>
      <w:r w:rsidR="00C43C61" w:rsidRPr="007C266E">
        <w:rPr>
          <w:rFonts w:ascii="Times New Roman" w:hAnsi="Times New Roman" w:cs="Times New Roman"/>
          <w:sz w:val="23"/>
          <w:szCs w:val="23"/>
          <w:lang w:val="ro-RO"/>
        </w:rPr>
        <w:t xml:space="preserve">de schimbările care au loc pe plan local, regional, european și mondial. Transpunerea în practică a Strategiei Energetice </w:t>
      </w:r>
      <w:r w:rsidR="00BB32BD" w:rsidRPr="007C266E">
        <w:rPr>
          <w:rFonts w:ascii="Times New Roman" w:hAnsi="Times New Roman" w:cs="Times New Roman"/>
          <w:sz w:val="23"/>
          <w:szCs w:val="23"/>
          <w:lang w:val="ro-RO"/>
        </w:rPr>
        <w:t>este corelata cu</w:t>
      </w:r>
      <w:r w:rsidR="00C43C61" w:rsidRPr="007C266E">
        <w:rPr>
          <w:rFonts w:ascii="Times New Roman" w:hAnsi="Times New Roman" w:cs="Times New Roman"/>
          <w:sz w:val="23"/>
          <w:szCs w:val="23"/>
          <w:lang w:val="ro-RO"/>
        </w:rPr>
        <w:t xml:space="preserve"> contextul național și internațional, ambele evoluând în interdependență dinamică.</w:t>
      </w:r>
    </w:p>
    <w:p w14:paraId="27CFF7E5" w14:textId="77777777" w:rsidR="0084135A" w:rsidRPr="007C266E" w:rsidRDefault="0084135A" w:rsidP="009E5804">
      <w:pPr>
        <w:spacing w:after="0" w:line="240" w:lineRule="auto"/>
        <w:jc w:val="both"/>
        <w:rPr>
          <w:rFonts w:ascii="Times New Roman" w:hAnsi="Times New Roman" w:cs="Times New Roman"/>
          <w:sz w:val="23"/>
          <w:szCs w:val="23"/>
          <w:lang w:val="ro-RO"/>
        </w:rPr>
      </w:pPr>
    </w:p>
    <w:p w14:paraId="7065E282" w14:textId="77777777" w:rsidR="0084135A"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Transformarea climatului economic impune noi tendințe de dezvoltare a societății și a </w:t>
      </w:r>
      <w:r w:rsidRPr="007C266E">
        <w:rPr>
          <w:rFonts w:ascii="Times New Roman" w:hAnsi="Times New Roman" w:cs="Times New Roman"/>
          <w:sz w:val="23"/>
          <w:szCs w:val="23"/>
          <w:lang w:val="ro-RO"/>
        </w:rPr>
        <w:lastRenderedPageBreak/>
        <w:t>nevoilor acesteia. Noile tehnologii și produse energetice reorientează alegerile de investiții, încrederea în procesele energetice, precum și structura sistemului electroenergetic.</w:t>
      </w:r>
    </w:p>
    <w:p w14:paraId="0FAF78A9" w14:textId="5728821B"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Pentru a răspunde modificărilor de context, o dată la</w:t>
      </w:r>
      <w:r w:rsidR="00F34EF2"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cinci ani, vor avea loc:</w:t>
      </w:r>
    </w:p>
    <w:p w14:paraId="59B4A05E" w14:textId="77777777" w:rsidR="0084135A" w:rsidRPr="007C266E" w:rsidRDefault="00337451" w:rsidP="002500F7">
      <w:pPr>
        <w:pStyle w:val="ListParagraph"/>
        <w:numPr>
          <w:ilvl w:val="0"/>
          <w:numId w:val="8"/>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a</w:t>
      </w:r>
      <w:r w:rsidR="00C43C61" w:rsidRPr="007C266E">
        <w:rPr>
          <w:rFonts w:ascii="Times New Roman" w:hAnsi="Times New Roman" w:cs="Times New Roman"/>
          <w:sz w:val="23"/>
          <w:szCs w:val="23"/>
          <w:lang w:val="ro-RO"/>
        </w:rPr>
        <w:t>ctualizarea datelor și a analizei de sistem;</w:t>
      </w:r>
    </w:p>
    <w:p w14:paraId="0179201A" w14:textId="77777777" w:rsidR="0084135A" w:rsidRPr="007C266E" w:rsidRDefault="00337451" w:rsidP="002500F7">
      <w:pPr>
        <w:pStyle w:val="ListParagraph"/>
        <w:numPr>
          <w:ilvl w:val="0"/>
          <w:numId w:val="8"/>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o</w:t>
      </w:r>
      <w:r w:rsidR="00C43C61" w:rsidRPr="007C266E">
        <w:rPr>
          <w:rFonts w:ascii="Times New Roman" w:hAnsi="Times New Roman" w:cs="Times New Roman"/>
          <w:sz w:val="23"/>
          <w:szCs w:val="23"/>
          <w:lang w:val="ro-RO"/>
        </w:rPr>
        <w:t xml:space="preserve"> nouă analiză calitativă a tendințelor din sistemul energetic național;</w:t>
      </w:r>
    </w:p>
    <w:p w14:paraId="1ED132C7" w14:textId="77777777" w:rsidR="0084135A" w:rsidRPr="007C266E" w:rsidRDefault="00337451" w:rsidP="002500F7">
      <w:pPr>
        <w:pStyle w:val="ListParagraph"/>
        <w:numPr>
          <w:ilvl w:val="0"/>
          <w:numId w:val="8"/>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w:t>
      </w:r>
      <w:r w:rsidR="00C43C61" w:rsidRPr="007C266E">
        <w:rPr>
          <w:rFonts w:ascii="Times New Roman" w:hAnsi="Times New Roman" w:cs="Times New Roman"/>
          <w:sz w:val="23"/>
          <w:szCs w:val="23"/>
          <w:lang w:val="ro-RO"/>
        </w:rPr>
        <w:t>edefinirea scenariilor și o nouă modelare cantitativă;</w:t>
      </w:r>
    </w:p>
    <w:p w14:paraId="5A95D203" w14:textId="77777777" w:rsidR="00C43C61" w:rsidRPr="007C266E" w:rsidRDefault="00337451" w:rsidP="002500F7">
      <w:pPr>
        <w:pStyle w:val="ListParagraph"/>
        <w:numPr>
          <w:ilvl w:val="0"/>
          <w:numId w:val="8"/>
        </w:num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r</w:t>
      </w:r>
      <w:r w:rsidR="00C43C61" w:rsidRPr="007C266E">
        <w:rPr>
          <w:rFonts w:ascii="Times New Roman" w:hAnsi="Times New Roman" w:cs="Times New Roman"/>
          <w:sz w:val="23"/>
          <w:szCs w:val="23"/>
          <w:lang w:val="ro-RO"/>
        </w:rPr>
        <w:t>evizuirea țintelor și a priorităților de acțiune.</w:t>
      </w:r>
    </w:p>
    <w:p w14:paraId="40A69AA3" w14:textId="77777777" w:rsidR="00037DF2"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Strategia Energetică se bazează pe dezvoltarea piețelor concurențiale de energie electrică, gaze naturale și alte resurse primare, ceea ce </w:t>
      </w:r>
      <w:r w:rsidR="00337451" w:rsidRPr="007C266E">
        <w:rPr>
          <w:rFonts w:ascii="Times New Roman" w:hAnsi="Times New Roman" w:cs="Times New Roman"/>
          <w:sz w:val="23"/>
          <w:szCs w:val="23"/>
          <w:lang w:val="ro-RO"/>
        </w:rPr>
        <w:t>con</w:t>
      </w:r>
      <w:r w:rsidRPr="007C266E">
        <w:rPr>
          <w:rFonts w:ascii="Times New Roman" w:hAnsi="Times New Roman" w:cs="Times New Roman"/>
          <w:sz w:val="23"/>
          <w:szCs w:val="23"/>
          <w:lang w:val="ro-RO"/>
        </w:rPr>
        <w:t>duce la nevoia de noi abordări, o</w:t>
      </w:r>
      <w:r w:rsidR="0084135A" w:rsidRPr="007C266E">
        <w:rPr>
          <w:rFonts w:ascii="Times New Roman" w:hAnsi="Times New Roman" w:cs="Times New Roman"/>
          <w:sz w:val="23"/>
          <w:szCs w:val="23"/>
          <w:lang w:val="ro-RO"/>
        </w:rPr>
        <w:t xml:space="preserve"> </w:t>
      </w:r>
      <w:r w:rsidRPr="007C266E">
        <w:rPr>
          <w:rFonts w:ascii="Times New Roman" w:hAnsi="Times New Roman" w:cs="Times New Roman"/>
          <w:sz w:val="23"/>
          <w:szCs w:val="23"/>
          <w:lang w:val="ro-RO"/>
        </w:rPr>
        <w:t>dată cu modificarea tendințelor de piață.</w:t>
      </w:r>
    </w:p>
    <w:p w14:paraId="528743C5" w14:textId="77777777" w:rsidR="00B834A2" w:rsidRPr="007C266E" w:rsidRDefault="00B834A2" w:rsidP="009E5804">
      <w:pPr>
        <w:spacing w:after="0" w:line="240" w:lineRule="auto"/>
        <w:jc w:val="both"/>
        <w:rPr>
          <w:rFonts w:ascii="Times New Roman" w:hAnsi="Times New Roman" w:cs="Times New Roman"/>
          <w:sz w:val="23"/>
          <w:szCs w:val="23"/>
          <w:lang w:val="ro-RO"/>
        </w:rPr>
        <w:sectPr w:rsidR="00B834A2" w:rsidRPr="007C266E" w:rsidSect="0089425F">
          <w:type w:val="continuous"/>
          <w:pgSz w:w="12240" w:h="15840"/>
          <w:pgMar w:top="1440" w:right="1440" w:bottom="1440" w:left="1440" w:header="720" w:footer="720" w:gutter="0"/>
          <w:cols w:num="2" w:space="720"/>
          <w:docGrid w:linePitch="360"/>
        </w:sectPr>
      </w:pPr>
    </w:p>
    <w:p w14:paraId="2A3FAD44"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 xml:space="preserve"> </w:t>
      </w:r>
    </w:p>
    <w:p w14:paraId="67E6D53B" w14:textId="77777777" w:rsidR="00C43C61" w:rsidRPr="007C266E" w:rsidRDefault="00C43C61" w:rsidP="009E5804">
      <w:pPr>
        <w:spacing w:after="0" w:line="240" w:lineRule="auto"/>
        <w:jc w:val="both"/>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 </w:t>
      </w:r>
    </w:p>
    <w:p w14:paraId="1D8F15DF" w14:textId="77777777" w:rsidR="00B834A2" w:rsidRPr="007C266E" w:rsidRDefault="00B834A2" w:rsidP="004B4A53">
      <w:pPr>
        <w:spacing w:line="240" w:lineRule="auto"/>
        <w:rPr>
          <w:rFonts w:ascii="Times New Roman" w:hAnsi="Times New Roman" w:cs="Times New Roman"/>
          <w:sz w:val="23"/>
          <w:szCs w:val="23"/>
          <w:lang w:val="ro-RO"/>
        </w:rPr>
      </w:pPr>
      <w:r w:rsidRPr="007C266E">
        <w:rPr>
          <w:rFonts w:ascii="Times New Roman" w:hAnsi="Times New Roman" w:cs="Times New Roman"/>
          <w:sz w:val="23"/>
          <w:szCs w:val="23"/>
          <w:lang w:val="ro-RO"/>
        </w:rPr>
        <w:br w:type="page"/>
      </w:r>
    </w:p>
    <w:p w14:paraId="1546D2E6" w14:textId="77777777" w:rsidR="00C43C61" w:rsidRPr="007C266E" w:rsidRDefault="00C43C61" w:rsidP="006E1D2D">
      <w:pPr>
        <w:spacing w:after="0" w:line="240" w:lineRule="auto"/>
        <w:jc w:val="both"/>
        <w:rPr>
          <w:rFonts w:ascii="Times New Roman" w:hAnsi="Times New Roman" w:cs="Times New Roman"/>
          <w:sz w:val="23"/>
          <w:szCs w:val="23"/>
          <w:lang w:val="ro-RO"/>
        </w:rPr>
      </w:pPr>
    </w:p>
    <w:p w14:paraId="59156E96" w14:textId="77777777" w:rsidR="00B834A2" w:rsidRPr="007C266E" w:rsidRDefault="00B834A2" w:rsidP="004B4A53">
      <w:pPr>
        <w:pStyle w:val="Heading1"/>
        <w:spacing w:line="240" w:lineRule="auto"/>
        <w:rPr>
          <w:rFonts w:ascii="Times New Roman" w:hAnsi="Times New Roman" w:cs="Times New Roman"/>
          <w:sz w:val="23"/>
          <w:szCs w:val="23"/>
          <w:lang w:val="ro-RO"/>
        </w:rPr>
      </w:pPr>
      <w:bookmarkStart w:id="93" w:name="_Toc44400888"/>
      <w:r w:rsidRPr="007C266E">
        <w:rPr>
          <w:rFonts w:ascii="Times New Roman" w:hAnsi="Times New Roman" w:cs="Times New Roman"/>
          <w:sz w:val="23"/>
          <w:szCs w:val="23"/>
          <w:lang w:val="ro-RO"/>
        </w:rPr>
        <w:t>Abrevieri</w:t>
      </w:r>
      <w:bookmarkEnd w:id="93"/>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047"/>
        <w:gridCol w:w="8079"/>
      </w:tblGrid>
      <w:tr w:rsidR="00B834A2" w:rsidRPr="007C266E" w14:paraId="10FBD352" w14:textId="77777777" w:rsidTr="00A01606">
        <w:trPr>
          <w:trHeight w:val="205"/>
        </w:trPr>
        <w:tc>
          <w:tcPr>
            <w:tcW w:w="1047" w:type="dxa"/>
            <w:noWrap/>
            <w:hideMark/>
          </w:tcPr>
          <w:p w14:paraId="264050B4"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ANRE</w:t>
            </w:r>
          </w:p>
        </w:tc>
        <w:tc>
          <w:tcPr>
            <w:tcW w:w="8079" w:type="dxa"/>
            <w:hideMark/>
          </w:tcPr>
          <w:p w14:paraId="0C64C590"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Agenția Națională de Reglementare în domeniul Energiei</w:t>
            </w:r>
          </w:p>
        </w:tc>
      </w:tr>
      <w:tr w:rsidR="00B834A2" w:rsidRPr="007C266E" w14:paraId="223168BF" w14:textId="77777777" w:rsidTr="00A01606">
        <w:trPr>
          <w:trHeight w:val="194"/>
        </w:trPr>
        <w:tc>
          <w:tcPr>
            <w:tcW w:w="1047" w:type="dxa"/>
            <w:noWrap/>
            <w:hideMark/>
          </w:tcPr>
          <w:p w14:paraId="27E6B87F"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ANRM</w:t>
            </w:r>
          </w:p>
        </w:tc>
        <w:tc>
          <w:tcPr>
            <w:tcW w:w="8079" w:type="dxa"/>
            <w:hideMark/>
          </w:tcPr>
          <w:p w14:paraId="5940B375"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Agenția Națională pentru Resurse Minerale</w:t>
            </w:r>
          </w:p>
        </w:tc>
      </w:tr>
      <w:tr w:rsidR="00B834A2" w:rsidRPr="007C266E" w14:paraId="749688B2" w14:textId="77777777" w:rsidTr="00A01606">
        <w:trPr>
          <w:trHeight w:val="171"/>
        </w:trPr>
        <w:tc>
          <w:tcPr>
            <w:tcW w:w="1047" w:type="dxa"/>
            <w:noWrap/>
            <w:hideMark/>
          </w:tcPr>
          <w:p w14:paraId="5C8C27AC"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ANRSC</w:t>
            </w:r>
          </w:p>
        </w:tc>
        <w:tc>
          <w:tcPr>
            <w:tcW w:w="8079" w:type="dxa"/>
            <w:hideMark/>
          </w:tcPr>
          <w:p w14:paraId="07DAEBD9"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Autoritatea Națională de Reglementare pentru Serviciile Comunitare de Utilități Publice</w:t>
            </w:r>
          </w:p>
        </w:tc>
      </w:tr>
      <w:tr w:rsidR="00B834A2" w:rsidRPr="007C266E" w14:paraId="2A52B07A" w14:textId="77777777" w:rsidTr="00A01606">
        <w:trPr>
          <w:trHeight w:val="160"/>
        </w:trPr>
        <w:tc>
          <w:tcPr>
            <w:tcW w:w="1047" w:type="dxa"/>
            <w:noWrap/>
            <w:hideMark/>
          </w:tcPr>
          <w:p w14:paraId="4E06FC97"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BRUA</w:t>
            </w:r>
          </w:p>
        </w:tc>
        <w:tc>
          <w:tcPr>
            <w:tcW w:w="8079" w:type="dxa"/>
            <w:hideMark/>
          </w:tcPr>
          <w:p w14:paraId="7D15044B"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gazoductul Bulgaria-Romania-Ungaria-Austria</w:t>
            </w:r>
          </w:p>
        </w:tc>
      </w:tr>
      <w:tr w:rsidR="00B834A2" w:rsidRPr="007C266E" w14:paraId="1BE24BFE" w14:textId="77777777" w:rsidTr="00A01606">
        <w:trPr>
          <w:trHeight w:val="135"/>
        </w:trPr>
        <w:tc>
          <w:tcPr>
            <w:tcW w:w="1047" w:type="dxa"/>
            <w:noWrap/>
            <w:hideMark/>
          </w:tcPr>
          <w:p w14:paraId="4148FC48"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CCGT</w:t>
            </w:r>
          </w:p>
        </w:tc>
        <w:tc>
          <w:tcPr>
            <w:tcW w:w="8079" w:type="dxa"/>
            <w:hideMark/>
          </w:tcPr>
          <w:p w14:paraId="28032655"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turbină cu ciclu combinat pe bază de gaz natural</w:t>
            </w:r>
          </w:p>
        </w:tc>
      </w:tr>
      <w:tr w:rsidR="00B834A2" w:rsidRPr="007C266E" w14:paraId="23919048" w14:textId="77777777" w:rsidTr="00A01606">
        <w:trPr>
          <w:trHeight w:val="125"/>
        </w:trPr>
        <w:tc>
          <w:tcPr>
            <w:tcW w:w="1047" w:type="dxa"/>
            <w:noWrap/>
            <w:hideMark/>
          </w:tcPr>
          <w:p w14:paraId="538A2331"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CSC</w:t>
            </w:r>
          </w:p>
        </w:tc>
        <w:tc>
          <w:tcPr>
            <w:tcW w:w="8079" w:type="dxa"/>
            <w:noWrap/>
            <w:hideMark/>
          </w:tcPr>
          <w:p w14:paraId="7574F96C"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procesul de captare, transport și stocare geologică a emisiilor de CO</w:t>
            </w:r>
            <w:r w:rsidRPr="007C266E">
              <w:rPr>
                <w:rFonts w:ascii="Times New Roman" w:hAnsi="Times New Roman" w:cs="Times New Roman"/>
                <w:sz w:val="23"/>
                <w:szCs w:val="23"/>
                <w:vertAlign w:val="subscript"/>
                <w:lang w:val="ro-RO"/>
              </w:rPr>
              <w:t>2</w:t>
            </w:r>
          </w:p>
        </w:tc>
      </w:tr>
      <w:tr w:rsidR="00B834A2" w:rsidRPr="007C266E" w14:paraId="7E297F05" w14:textId="77777777" w:rsidTr="00A01606">
        <w:trPr>
          <w:trHeight w:val="187"/>
        </w:trPr>
        <w:tc>
          <w:tcPr>
            <w:tcW w:w="1047" w:type="dxa"/>
            <w:noWrap/>
            <w:hideMark/>
          </w:tcPr>
          <w:p w14:paraId="2258F14D"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CE</w:t>
            </w:r>
          </w:p>
        </w:tc>
        <w:tc>
          <w:tcPr>
            <w:tcW w:w="8079" w:type="dxa"/>
            <w:hideMark/>
          </w:tcPr>
          <w:p w14:paraId="492DD3F7"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Comisia Europeană</w:t>
            </w:r>
          </w:p>
        </w:tc>
      </w:tr>
      <w:tr w:rsidR="00B834A2" w:rsidRPr="007C266E" w14:paraId="39FEE301" w14:textId="77777777" w:rsidTr="00A01606">
        <w:trPr>
          <w:trHeight w:val="153"/>
        </w:trPr>
        <w:tc>
          <w:tcPr>
            <w:tcW w:w="1047" w:type="dxa"/>
            <w:noWrap/>
            <w:hideMark/>
          </w:tcPr>
          <w:p w14:paraId="755206BC"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CEO</w:t>
            </w:r>
          </w:p>
        </w:tc>
        <w:tc>
          <w:tcPr>
            <w:tcW w:w="8079" w:type="dxa"/>
            <w:noWrap/>
            <w:hideMark/>
          </w:tcPr>
          <w:p w14:paraId="66D950D5"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Complexului Energetic Oltenia</w:t>
            </w:r>
          </w:p>
        </w:tc>
      </w:tr>
      <w:tr w:rsidR="00B834A2" w:rsidRPr="007C266E" w14:paraId="4ABCCB01" w14:textId="77777777" w:rsidTr="00A01606">
        <w:trPr>
          <w:trHeight w:val="143"/>
        </w:trPr>
        <w:tc>
          <w:tcPr>
            <w:tcW w:w="1047" w:type="dxa"/>
            <w:noWrap/>
            <w:hideMark/>
          </w:tcPr>
          <w:p w14:paraId="02577F39"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CNU</w:t>
            </w:r>
          </w:p>
        </w:tc>
        <w:tc>
          <w:tcPr>
            <w:tcW w:w="8079" w:type="dxa"/>
            <w:noWrap/>
            <w:hideMark/>
          </w:tcPr>
          <w:p w14:paraId="71B869B9"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Compania Națională a Uraniului</w:t>
            </w:r>
          </w:p>
        </w:tc>
      </w:tr>
      <w:tr w:rsidR="00B834A2" w:rsidRPr="007C266E" w14:paraId="6CACDD75" w14:textId="77777777" w:rsidTr="00A01606">
        <w:trPr>
          <w:trHeight w:val="119"/>
        </w:trPr>
        <w:tc>
          <w:tcPr>
            <w:tcW w:w="1047" w:type="dxa"/>
            <w:noWrap/>
            <w:hideMark/>
          </w:tcPr>
          <w:p w14:paraId="47C4CC64"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DEN</w:t>
            </w:r>
          </w:p>
        </w:tc>
        <w:tc>
          <w:tcPr>
            <w:tcW w:w="8079" w:type="dxa"/>
            <w:hideMark/>
          </w:tcPr>
          <w:p w14:paraId="63E1E8CD"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Dispecerul Energetic Național</w:t>
            </w:r>
          </w:p>
        </w:tc>
      </w:tr>
      <w:tr w:rsidR="00B834A2" w:rsidRPr="007C266E" w14:paraId="3A9127AE" w14:textId="77777777" w:rsidTr="00A01606">
        <w:trPr>
          <w:trHeight w:val="110"/>
        </w:trPr>
        <w:tc>
          <w:tcPr>
            <w:tcW w:w="1047" w:type="dxa"/>
            <w:noWrap/>
            <w:hideMark/>
          </w:tcPr>
          <w:p w14:paraId="3EB8BB4E"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ELCEN</w:t>
            </w:r>
          </w:p>
        </w:tc>
        <w:tc>
          <w:tcPr>
            <w:tcW w:w="8079" w:type="dxa"/>
            <w:noWrap/>
            <w:hideMark/>
          </w:tcPr>
          <w:p w14:paraId="4FF66518"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Electrocentrale Bucureşti</w:t>
            </w:r>
          </w:p>
        </w:tc>
      </w:tr>
      <w:tr w:rsidR="00B834A2" w:rsidRPr="007C266E" w14:paraId="170CE08C" w14:textId="77777777" w:rsidTr="00A01606">
        <w:trPr>
          <w:trHeight w:val="369"/>
        </w:trPr>
        <w:tc>
          <w:tcPr>
            <w:tcW w:w="1047" w:type="dxa"/>
            <w:noWrap/>
            <w:hideMark/>
          </w:tcPr>
          <w:p w14:paraId="6DAC0F81"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ENTSO-E</w:t>
            </w:r>
          </w:p>
        </w:tc>
        <w:tc>
          <w:tcPr>
            <w:tcW w:w="8079" w:type="dxa"/>
            <w:hideMark/>
          </w:tcPr>
          <w:p w14:paraId="7CDBCB22"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European Network of Transmission System Operators for Electricity, Reţeaua Europeană a Operatorilor de Transport şi Sistem pentru Energie Electrică</w:t>
            </w:r>
          </w:p>
        </w:tc>
      </w:tr>
      <w:tr w:rsidR="00B834A2" w:rsidRPr="007C266E" w14:paraId="1DEA6399" w14:textId="77777777" w:rsidTr="00A01606">
        <w:trPr>
          <w:trHeight w:val="433"/>
        </w:trPr>
        <w:tc>
          <w:tcPr>
            <w:tcW w:w="1047" w:type="dxa"/>
            <w:noWrap/>
            <w:hideMark/>
          </w:tcPr>
          <w:p w14:paraId="640F24D0"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ENTSO-G</w:t>
            </w:r>
          </w:p>
        </w:tc>
        <w:tc>
          <w:tcPr>
            <w:tcW w:w="8079" w:type="dxa"/>
            <w:hideMark/>
          </w:tcPr>
          <w:p w14:paraId="3404241E"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European Network of Transmission System Operators for Gas, Reţeaua Europeană a Operatorilor de Transport şi Sistem pentru Gaz Natural</w:t>
            </w:r>
          </w:p>
        </w:tc>
      </w:tr>
      <w:tr w:rsidR="00B834A2" w:rsidRPr="007C266E" w14:paraId="7A1DCA8D" w14:textId="77777777" w:rsidTr="00A01606">
        <w:trPr>
          <w:trHeight w:val="141"/>
        </w:trPr>
        <w:tc>
          <w:tcPr>
            <w:tcW w:w="1047" w:type="dxa"/>
            <w:noWrap/>
            <w:hideMark/>
          </w:tcPr>
          <w:p w14:paraId="43FBB01C"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ESCO</w:t>
            </w:r>
          </w:p>
        </w:tc>
        <w:tc>
          <w:tcPr>
            <w:tcW w:w="8079" w:type="dxa"/>
            <w:hideMark/>
          </w:tcPr>
          <w:p w14:paraId="299FFF9C"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Energy Services Company, companie de servicii energetice</w:t>
            </w:r>
          </w:p>
        </w:tc>
      </w:tr>
      <w:tr w:rsidR="00B834A2" w:rsidRPr="007C266E" w14:paraId="026183BC" w14:textId="77777777" w:rsidTr="00A01606">
        <w:trPr>
          <w:trHeight w:val="117"/>
        </w:trPr>
        <w:tc>
          <w:tcPr>
            <w:tcW w:w="1047" w:type="dxa"/>
            <w:noWrap/>
            <w:hideMark/>
          </w:tcPr>
          <w:p w14:paraId="63F07CFB"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ETS</w:t>
            </w:r>
          </w:p>
        </w:tc>
        <w:tc>
          <w:tcPr>
            <w:tcW w:w="8079" w:type="dxa"/>
            <w:hideMark/>
          </w:tcPr>
          <w:p w14:paraId="1BF78978"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Emission Trading System, sistemul de tranzacționare a emisiilor de gaze cu efect de seră în UE</w:t>
            </w:r>
          </w:p>
        </w:tc>
      </w:tr>
      <w:tr w:rsidR="00B834A2" w:rsidRPr="007C266E" w14:paraId="38E62169" w14:textId="77777777" w:rsidTr="00A01606">
        <w:trPr>
          <w:trHeight w:val="107"/>
        </w:trPr>
        <w:tc>
          <w:tcPr>
            <w:tcW w:w="1047" w:type="dxa"/>
            <w:noWrap/>
            <w:hideMark/>
          </w:tcPr>
          <w:p w14:paraId="72076D2E"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GEM-E3</w:t>
            </w:r>
          </w:p>
        </w:tc>
        <w:tc>
          <w:tcPr>
            <w:tcW w:w="8079" w:type="dxa"/>
            <w:noWrap/>
            <w:hideMark/>
          </w:tcPr>
          <w:p w14:paraId="21F46C29"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model macroeconomic si sectorial pentru țările din Europa și economia globală;</w:t>
            </w:r>
          </w:p>
        </w:tc>
      </w:tr>
      <w:tr w:rsidR="00B834A2" w:rsidRPr="007C266E" w14:paraId="2EC15CD0" w14:textId="77777777" w:rsidTr="00A01606">
        <w:trPr>
          <w:trHeight w:val="225"/>
        </w:trPr>
        <w:tc>
          <w:tcPr>
            <w:tcW w:w="1047" w:type="dxa"/>
            <w:noWrap/>
            <w:hideMark/>
          </w:tcPr>
          <w:p w14:paraId="6F9C7BAE"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GES</w:t>
            </w:r>
          </w:p>
        </w:tc>
        <w:tc>
          <w:tcPr>
            <w:tcW w:w="8079" w:type="dxa"/>
            <w:hideMark/>
          </w:tcPr>
          <w:p w14:paraId="6141A770"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gaze cu efect de seră</w:t>
            </w:r>
          </w:p>
        </w:tc>
      </w:tr>
      <w:tr w:rsidR="00B834A2" w:rsidRPr="007C266E" w14:paraId="1F9A209A" w14:textId="77777777" w:rsidTr="00A01606">
        <w:trPr>
          <w:trHeight w:val="215"/>
        </w:trPr>
        <w:tc>
          <w:tcPr>
            <w:tcW w:w="1047" w:type="dxa"/>
            <w:noWrap/>
            <w:hideMark/>
          </w:tcPr>
          <w:p w14:paraId="4B126B55"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GNC</w:t>
            </w:r>
          </w:p>
        </w:tc>
        <w:tc>
          <w:tcPr>
            <w:tcW w:w="8079" w:type="dxa"/>
            <w:hideMark/>
          </w:tcPr>
          <w:p w14:paraId="1CAC7891"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gaz natural comprimat</w:t>
            </w:r>
          </w:p>
        </w:tc>
      </w:tr>
      <w:tr w:rsidR="00B834A2" w:rsidRPr="007C266E" w14:paraId="3B5D6A17" w14:textId="77777777" w:rsidTr="00A01606">
        <w:trPr>
          <w:trHeight w:val="191"/>
        </w:trPr>
        <w:tc>
          <w:tcPr>
            <w:tcW w:w="1047" w:type="dxa"/>
            <w:noWrap/>
            <w:hideMark/>
          </w:tcPr>
          <w:p w14:paraId="76E18A2F"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GNL</w:t>
            </w:r>
          </w:p>
        </w:tc>
        <w:tc>
          <w:tcPr>
            <w:tcW w:w="8079" w:type="dxa"/>
            <w:hideMark/>
          </w:tcPr>
          <w:p w14:paraId="457F2FE6"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gaz natural lichefiat</w:t>
            </w:r>
          </w:p>
        </w:tc>
      </w:tr>
      <w:tr w:rsidR="00B834A2" w:rsidRPr="007C266E" w14:paraId="6B55E8FB" w14:textId="77777777" w:rsidTr="00A01606">
        <w:trPr>
          <w:trHeight w:val="181"/>
        </w:trPr>
        <w:tc>
          <w:tcPr>
            <w:tcW w:w="1047" w:type="dxa"/>
            <w:noWrap/>
            <w:hideMark/>
          </w:tcPr>
          <w:p w14:paraId="09BBBE8A"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GPL</w:t>
            </w:r>
          </w:p>
        </w:tc>
        <w:tc>
          <w:tcPr>
            <w:tcW w:w="8079" w:type="dxa"/>
            <w:hideMark/>
          </w:tcPr>
          <w:p w14:paraId="028960DE"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gaz petrolier lichefiat</w:t>
            </w:r>
          </w:p>
        </w:tc>
      </w:tr>
      <w:tr w:rsidR="00B834A2" w:rsidRPr="007C266E" w14:paraId="0B986A26" w14:textId="77777777" w:rsidTr="00A01606">
        <w:trPr>
          <w:trHeight w:val="80"/>
        </w:trPr>
        <w:tc>
          <w:tcPr>
            <w:tcW w:w="1047" w:type="dxa"/>
            <w:noWrap/>
            <w:hideMark/>
          </w:tcPr>
          <w:p w14:paraId="59D7D833"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HHI</w:t>
            </w:r>
          </w:p>
        </w:tc>
        <w:tc>
          <w:tcPr>
            <w:tcW w:w="8079" w:type="dxa"/>
            <w:noWrap/>
            <w:hideMark/>
          </w:tcPr>
          <w:p w14:paraId="488E0667"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indicele Herfindahl-Hirschmann</w:t>
            </w:r>
          </w:p>
        </w:tc>
      </w:tr>
      <w:tr w:rsidR="00B834A2" w:rsidRPr="007C266E" w14:paraId="4F8E4C8E" w14:textId="77777777" w:rsidTr="00A01606">
        <w:trPr>
          <w:trHeight w:val="147"/>
        </w:trPr>
        <w:tc>
          <w:tcPr>
            <w:tcW w:w="1047" w:type="dxa"/>
            <w:noWrap/>
            <w:hideMark/>
          </w:tcPr>
          <w:p w14:paraId="712CE747"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IEA</w:t>
            </w:r>
          </w:p>
        </w:tc>
        <w:tc>
          <w:tcPr>
            <w:tcW w:w="8079" w:type="dxa"/>
            <w:hideMark/>
          </w:tcPr>
          <w:p w14:paraId="62B186D4"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Agenția Internațională pentru Energie </w:t>
            </w:r>
          </w:p>
        </w:tc>
      </w:tr>
      <w:tr w:rsidR="00B834A2" w:rsidRPr="007C266E" w14:paraId="1F4F9312" w14:textId="77777777" w:rsidTr="00A01606">
        <w:trPr>
          <w:trHeight w:val="137"/>
        </w:trPr>
        <w:tc>
          <w:tcPr>
            <w:tcW w:w="1047" w:type="dxa"/>
            <w:noWrap/>
            <w:hideMark/>
          </w:tcPr>
          <w:p w14:paraId="211BBFC0"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mil t</w:t>
            </w:r>
          </w:p>
        </w:tc>
        <w:tc>
          <w:tcPr>
            <w:tcW w:w="8079" w:type="dxa"/>
            <w:noWrap/>
            <w:hideMark/>
          </w:tcPr>
          <w:p w14:paraId="4097EC43"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milioane tone </w:t>
            </w:r>
          </w:p>
        </w:tc>
      </w:tr>
      <w:tr w:rsidR="00B834A2" w:rsidRPr="007C266E" w14:paraId="149E7904" w14:textId="77777777" w:rsidTr="00A01606">
        <w:trPr>
          <w:trHeight w:val="113"/>
        </w:trPr>
        <w:tc>
          <w:tcPr>
            <w:tcW w:w="1047" w:type="dxa"/>
            <w:noWrap/>
            <w:hideMark/>
          </w:tcPr>
          <w:p w14:paraId="4AC9CD04"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mld m3</w:t>
            </w:r>
          </w:p>
        </w:tc>
        <w:tc>
          <w:tcPr>
            <w:tcW w:w="8079" w:type="dxa"/>
            <w:noWrap/>
            <w:hideMark/>
          </w:tcPr>
          <w:p w14:paraId="3ACAE420"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miliarde metri cubi </w:t>
            </w:r>
          </w:p>
        </w:tc>
      </w:tr>
      <w:tr w:rsidR="00B834A2" w:rsidRPr="007C266E" w14:paraId="2975B1B6" w14:textId="77777777" w:rsidTr="00A01606">
        <w:trPr>
          <w:trHeight w:val="104"/>
        </w:trPr>
        <w:tc>
          <w:tcPr>
            <w:tcW w:w="1047" w:type="dxa"/>
            <w:noWrap/>
            <w:hideMark/>
          </w:tcPr>
          <w:p w14:paraId="1E955CAE" w14:textId="77777777" w:rsidR="00B834A2" w:rsidRPr="007C266E" w:rsidRDefault="0028209B"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M</w:t>
            </w:r>
            <w:r w:rsidR="00B834A2" w:rsidRPr="007C266E">
              <w:rPr>
                <w:rFonts w:ascii="Times New Roman" w:hAnsi="Times New Roman" w:cs="Times New Roman"/>
                <w:sz w:val="23"/>
                <w:szCs w:val="23"/>
                <w:lang w:val="ro-RO"/>
              </w:rPr>
              <w:t>tep</w:t>
            </w:r>
          </w:p>
        </w:tc>
        <w:tc>
          <w:tcPr>
            <w:tcW w:w="8079" w:type="dxa"/>
            <w:noWrap/>
            <w:hideMark/>
          </w:tcPr>
          <w:p w14:paraId="63114AF6"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milioane tone echivalent petrol</w:t>
            </w:r>
          </w:p>
        </w:tc>
      </w:tr>
      <w:tr w:rsidR="00B834A2" w:rsidRPr="007C266E" w14:paraId="7E5413F0" w14:textId="77777777" w:rsidTr="00A01606">
        <w:trPr>
          <w:trHeight w:val="221"/>
        </w:trPr>
        <w:tc>
          <w:tcPr>
            <w:tcW w:w="1047" w:type="dxa"/>
            <w:noWrap/>
            <w:hideMark/>
          </w:tcPr>
          <w:p w14:paraId="232F4DA3"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OCDE</w:t>
            </w:r>
          </w:p>
        </w:tc>
        <w:tc>
          <w:tcPr>
            <w:tcW w:w="8079" w:type="dxa"/>
            <w:noWrap/>
            <w:hideMark/>
          </w:tcPr>
          <w:p w14:paraId="68C23ABB"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Organizația pentru Cooperare și Dezvoltare Economică</w:t>
            </w:r>
          </w:p>
        </w:tc>
      </w:tr>
      <w:tr w:rsidR="00B834A2" w:rsidRPr="007C266E" w14:paraId="50DA40BF" w14:textId="77777777" w:rsidTr="00A01606">
        <w:trPr>
          <w:trHeight w:val="211"/>
        </w:trPr>
        <w:tc>
          <w:tcPr>
            <w:tcW w:w="1047" w:type="dxa"/>
            <w:noWrap/>
            <w:hideMark/>
          </w:tcPr>
          <w:p w14:paraId="7A8DCFA0"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OPEC</w:t>
            </w:r>
          </w:p>
        </w:tc>
        <w:tc>
          <w:tcPr>
            <w:tcW w:w="8079" w:type="dxa"/>
            <w:noWrap/>
            <w:hideMark/>
          </w:tcPr>
          <w:p w14:paraId="2D632DA1"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Organizația Țărilor Exportatoare de Petrol</w:t>
            </w:r>
          </w:p>
        </w:tc>
      </w:tr>
      <w:tr w:rsidR="00B834A2" w:rsidRPr="007C266E" w14:paraId="67D8C9F4" w14:textId="77777777" w:rsidTr="00A01606">
        <w:trPr>
          <w:trHeight w:val="187"/>
        </w:trPr>
        <w:tc>
          <w:tcPr>
            <w:tcW w:w="1047" w:type="dxa"/>
            <w:noWrap/>
            <w:hideMark/>
          </w:tcPr>
          <w:p w14:paraId="5FF2AF42"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PCI</w:t>
            </w:r>
          </w:p>
        </w:tc>
        <w:tc>
          <w:tcPr>
            <w:tcW w:w="8079" w:type="dxa"/>
            <w:noWrap/>
            <w:hideMark/>
          </w:tcPr>
          <w:p w14:paraId="7C3A68F0"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„Proiecte de Interes Comun”, propuse spre finanțare prin programul </w:t>
            </w:r>
            <w:r w:rsidRPr="007C266E">
              <w:rPr>
                <w:rFonts w:ascii="Times New Roman" w:hAnsi="Times New Roman" w:cs="Times New Roman"/>
                <w:i/>
                <w:iCs/>
                <w:sz w:val="23"/>
                <w:szCs w:val="23"/>
                <w:lang w:val="ro-RO"/>
              </w:rPr>
              <w:t>Connecting Europe Facility</w:t>
            </w:r>
          </w:p>
        </w:tc>
      </w:tr>
      <w:tr w:rsidR="00B834A2" w:rsidRPr="007C266E" w14:paraId="73634525" w14:textId="77777777" w:rsidTr="00A01606">
        <w:trPr>
          <w:trHeight w:val="177"/>
        </w:trPr>
        <w:tc>
          <w:tcPr>
            <w:tcW w:w="1047" w:type="dxa"/>
            <w:noWrap/>
            <w:hideMark/>
          </w:tcPr>
          <w:p w14:paraId="02C87EC5"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PRIMES</w:t>
            </w:r>
          </w:p>
        </w:tc>
        <w:tc>
          <w:tcPr>
            <w:tcW w:w="8079" w:type="dxa"/>
            <w:noWrap/>
            <w:hideMark/>
          </w:tcPr>
          <w:p w14:paraId="60B3F8F9"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Price-Induced Market Equilibrium System, suita de modele utilizate în modelarea cantitativă</w:t>
            </w:r>
          </w:p>
        </w:tc>
      </w:tr>
      <w:tr w:rsidR="00B834A2" w:rsidRPr="007C266E" w14:paraId="1354AB19" w14:textId="77777777" w:rsidTr="00A01606">
        <w:trPr>
          <w:trHeight w:val="153"/>
        </w:trPr>
        <w:tc>
          <w:tcPr>
            <w:tcW w:w="1047" w:type="dxa"/>
            <w:noWrap/>
            <w:hideMark/>
          </w:tcPr>
          <w:p w14:paraId="4260815F"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RADET</w:t>
            </w:r>
          </w:p>
        </w:tc>
        <w:tc>
          <w:tcPr>
            <w:tcW w:w="8079" w:type="dxa"/>
            <w:hideMark/>
          </w:tcPr>
          <w:p w14:paraId="0B4FE6C4"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Regia Autonoma de Distributie a Energiei Termice din București</w:t>
            </w:r>
          </w:p>
        </w:tc>
      </w:tr>
      <w:tr w:rsidR="00B834A2" w:rsidRPr="007C266E" w14:paraId="3635DB2F" w14:textId="77777777" w:rsidTr="00A01606">
        <w:trPr>
          <w:trHeight w:val="172"/>
        </w:trPr>
        <w:tc>
          <w:tcPr>
            <w:tcW w:w="1047" w:type="dxa"/>
            <w:noWrap/>
            <w:hideMark/>
          </w:tcPr>
          <w:p w14:paraId="323492E8"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RET</w:t>
            </w:r>
          </w:p>
        </w:tc>
        <w:tc>
          <w:tcPr>
            <w:tcW w:w="8079" w:type="dxa"/>
            <w:hideMark/>
          </w:tcPr>
          <w:p w14:paraId="25F4AA4C"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rețea electrică de transport</w:t>
            </w:r>
          </w:p>
        </w:tc>
      </w:tr>
      <w:tr w:rsidR="00B834A2" w:rsidRPr="007C266E" w14:paraId="484E6EB5" w14:textId="77777777" w:rsidTr="00A01606">
        <w:trPr>
          <w:trHeight w:val="161"/>
        </w:trPr>
        <w:tc>
          <w:tcPr>
            <w:tcW w:w="1047" w:type="dxa"/>
            <w:noWrap/>
            <w:hideMark/>
          </w:tcPr>
          <w:p w14:paraId="4B266F0B"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SACET </w:t>
            </w:r>
          </w:p>
        </w:tc>
        <w:tc>
          <w:tcPr>
            <w:tcW w:w="8079" w:type="dxa"/>
            <w:hideMark/>
          </w:tcPr>
          <w:p w14:paraId="1C7ED217"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sistem de alimentare centralizată cu energie termică </w:t>
            </w:r>
          </w:p>
        </w:tc>
      </w:tr>
      <w:tr w:rsidR="00B834A2" w:rsidRPr="007C266E" w14:paraId="7E2A1FB7" w14:textId="77777777" w:rsidTr="00A01606">
        <w:trPr>
          <w:trHeight w:val="237"/>
        </w:trPr>
        <w:tc>
          <w:tcPr>
            <w:tcW w:w="1047" w:type="dxa"/>
            <w:noWrap/>
            <w:hideMark/>
          </w:tcPr>
          <w:p w14:paraId="03F9F1FF"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lastRenderedPageBreak/>
              <w:t>SEN</w:t>
            </w:r>
          </w:p>
        </w:tc>
        <w:tc>
          <w:tcPr>
            <w:tcW w:w="8079" w:type="dxa"/>
            <w:hideMark/>
          </w:tcPr>
          <w:p w14:paraId="26C567C1"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sistemul electroenergetic național </w:t>
            </w:r>
          </w:p>
        </w:tc>
      </w:tr>
      <w:tr w:rsidR="00B834A2" w:rsidRPr="007C266E" w14:paraId="15CAC1BB" w14:textId="77777777" w:rsidTr="00A01606">
        <w:trPr>
          <w:trHeight w:val="213"/>
        </w:trPr>
        <w:tc>
          <w:tcPr>
            <w:tcW w:w="1047" w:type="dxa"/>
            <w:noWrap/>
            <w:hideMark/>
          </w:tcPr>
          <w:p w14:paraId="310FB00F"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SNT</w:t>
            </w:r>
          </w:p>
        </w:tc>
        <w:tc>
          <w:tcPr>
            <w:tcW w:w="8079" w:type="dxa"/>
            <w:hideMark/>
          </w:tcPr>
          <w:p w14:paraId="41E1FD9A"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sistem național de transport (pentru gaz natural, respectiv pentru țiței)</w:t>
            </w:r>
          </w:p>
        </w:tc>
      </w:tr>
      <w:tr w:rsidR="00B834A2" w:rsidRPr="007C266E" w14:paraId="0FD76C8D" w14:textId="77777777" w:rsidTr="00A01606">
        <w:trPr>
          <w:trHeight w:val="175"/>
        </w:trPr>
        <w:tc>
          <w:tcPr>
            <w:tcW w:w="1047" w:type="dxa"/>
            <w:noWrap/>
            <w:hideMark/>
          </w:tcPr>
          <w:p w14:paraId="1E76F309"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SRE</w:t>
            </w:r>
          </w:p>
        </w:tc>
        <w:tc>
          <w:tcPr>
            <w:tcW w:w="8079" w:type="dxa"/>
            <w:hideMark/>
          </w:tcPr>
          <w:p w14:paraId="54565A6A"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 xml:space="preserve">surse regenerabile de energie </w:t>
            </w:r>
          </w:p>
        </w:tc>
      </w:tr>
      <w:tr w:rsidR="00B834A2" w:rsidRPr="007C266E" w14:paraId="43CB6679" w14:textId="77777777" w:rsidTr="00A01606">
        <w:trPr>
          <w:trHeight w:val="151"/>
        </w:trPr>
        <w:tc>
          <w:tcPr>
            <w:tcW w:w="1047" w:type="dxa"/>
            <w:noWrap/>
            <w:hideMark/>
          </w:tcPr>
          <w:p w14:paraId="566C211B"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STS</w:t>
            </w:r>
          </w:p>
        </w:tc>
        <w:tc>
          <w:tcPr>
            <w:tcW w:w="8079" w:type="dxa"/>
            <w:noWrap/>
            <w:hideMark/>
          </w:tcPr>
          <w:p w14:paraId="0D3EF861"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servicii tehnologice de sistem</w:t>
            </w:r>
          </w:p>
        </w:tc>
      </w:tr>
      <w:tr w:rsidR="00B834A2" w:rsidRPr="007C266E" w14:paraId="77D01B60" w14:textId="77777777" w:rsidTr="00A01606">
        <w:trPr>
          <w:trHeight w:val="141"/>
        </w:trPr>
        <w:tc>
          <w:tcPr>
            <w:tcW w:w="1047" w:type="dxa"/>
            <w:noWrap/>
            <w:hideMark/>
          </w:tcPr>
          <w:p w14:paraId="6D270380"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UE</w:t>
            </w:r>
          </w:p>
        </w:tc>
        <w:tc>
          <w:tcPr>
            <w:tcW w:w="8079" w:type="dxa"/>
            <w:hideMark/>
          </w:tcPr>
          <w:p w14:paraId="0CBE33A6"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Uniunea Europeană</w:t>
            </w:r>
          </w:p>
        </w:tc>
      </w:tr>
      <w:tr w:rsidR="00B834A2" w:rsidRPr="007C266E" w14:paraId="4F6A42DF" w14:textId="77777777" w:rsidTr="00A01606">
        <w:trPr>
          <w:trHeight w:val="117"/>
        </w:trPr>
        <w:tc>
          <w:tcPr>
            <w:tcW w:w="1047" w:type="dxa"/>
            <w:noWrap/>
            <w:hideMark/>
          </w:tcPr>
          <w:p w14:paraId="05B73B4C"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WACC</w:t>
            </w:r>
          </w:p>
        </w:tc>
        <w:tc>
          <w:tcPr>
            <w:tcW w:w="8079" w:type="dxa"/>
            <w:noWrap/>
            <w:hideMark/>
          </w:tcPr>
          <w:p w14:paraId="616A8B2E"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Weighted Average Cost of Capital, costul mediu ponderat al capitalului (costul capitalului)</w:t>
            </w:r>
          </w:p>
        </w:tc>
      </w:tr>
      <w:tr w:rsidR="00B834A2" w:rsidRPr="007C266E" w14:paraId="24B7D5C1" w14:textId="77777777" w:rsidTr="00A01606">
        <w:trPr>
          <w:trHeight w:val="177"/>
        </w:trPr>
        <w:tc>
          <w:tcPr>
            <w:tcW w:w="1047" w:type="dxa"/>
            <w:noWrap/>
            <w:hideMark/>
          </w:tcPr>
          <w:p w14:paraId="3A9432B7"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OTS</w:t>
            </w:r>
          </w:p>
        </w:tc>
        <w:tc>
          <w:tcPr>
            <w:tcW w:w="8079" w:type="dxa"/>
            <w:hideMark/>
          </w:tcPr>
          <w:p w14:paraId="626A57D1"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operatorul  de transport și de sistem pentru energie electrică</w:t>
            </w:r>
          </w:p>
        </w:tc>
      </w:tr>
      <w:tr w:rsidR="00B834A2" w:rsidRPr="007C266E" w14:paraId="3837E5FB" w14:textId="77777777" w:rsidTr="00A01606">
        <w:trPr>
          <w:trHeight w:val="142"/>
        </w:trPr>
        <w:tc>
          <w:tcPr>
            <w:tcW w:w="1047" w:type="dxa"/>
            <w:noWrap/>
            <w:hideMark/>
          </w:tcPr>
          <w:p w14:paraId="3B900503"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tep</w:t>
            </w:r>
          </w:p>
        </w:tc>
        <w:tc>
          <w:tcPr>
            <w:tcW w:w="8079" w:type="dxa"/>
            <w:hideMark/>
          </w:tcPr>
          <w:p w14:paraId="1F1D0AE6"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tone echivalent petrol, unitate de măsură a energiei. 1 tep = 11,628 MWh</w:t>
            </w:r>
          </w:p>
        </w:tc>
      </w:tr>
      <w:tr w:rsidR="00B834A2" w:rsidRPr="007C266E" w14:paraId="2F4ED047" w14:textId="77777777" w:rsidTr="00A01606">
        <w:trPr>
          <w:trHeight w:val="415"/>
        </w:trPr>
        <w:tc>
          <w:tcPr>
            <w:tcW w:w="1047" w:type="dxa"/>
            <w:noWrap/>
            <w:hideMark/>
          </w:tcPr>
          <w:p w14:paraId="537EB283" w14:textId="77777777" w:rsidR="00B834A2" w:rsidRPr="007C266E" w:rsidRDefault="00B834A2" w:rsidP="006E1D2D">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TWh</w:t>
            </w:r>
          </w:p>
        </w:tc>
        <w:tc>
          <w:tcPr>
            <w:tcW w:w="8079" w:type="dxa"/>
            <w:hideMark/>
          </w:tcPr>
          <w:p w14:paraId="3E932DBF" w14:textId="77777777" w:rsidR="00B834A2" w:rsidRPr="007C266E" w:rsidRDefault="00B834A2" w:rsidP="00A86877">
            <w:pPr>
              <w:spacing w:before="20" w:after="20"/>
              <w:rPr>
                <w:rFonts w:ascii="Times New Roman" w:hAnsi="Times New Roman" w:cs="Times New Roman"/>
                <w:sz w:val="23"/>
                <w:szCs w:val="23"/>
                <w:lang w:val="ro-RO"/>
              </w:rPr>
            </w:pPr>
            <w:r w:rsidRPr="007C266E">
              <w:rPr>
                <w:rFonts w:ascii="Times New Roman" w:hAnsi="Times New Roman" w:cs="Times New Roman"/>
                <w:sz w:val="23"/>
                <w:szCs w:val="23"/>
                <w:lang w:val="ro-RO"/>
              </w:rPr>
              <w:t>terawatt-oră, echivalentul unui miliard de kilowați-oră (kWh), unitate de măsură a energiei. Sunt utilizați și alți multipli ai kWh, respectiv MWh (o mie de kWh) și GWh (un milion de kWh)</w:t>
            </w:r>
          </w:p>
        </w:tc>
      </w:tr>
    </w:tbl>
    <w:p w14:paraId="7D99101A" w14:textId="77777777" w:rsidR="00B834A2" w:rsidRPr="007C266E" w:rsidRDefault="00B834A2" w:rsidP="004B4A53">
      <w:pPr>
        <w:spacing w:line="240" w:lineRule="auto"/>
        <w:rPr>
          <w:rFonts w:ascii="Times New Roman" w:hAnsi="Times New Roman" w:cs="Times New Roman"/>
          <w:sz w:val="23"/>
          <w:szCs w:val="23"/>
          <w:lang w:val="ro-RO"/>
        </w:rPr>
      </w:pPr>
    </w:p>
    <w:p w14:paraId="740BAD41" w14:textId="3CA3E745" w:rsidR="00967C3A" w:rsidRPr="007C266E" w:rsidRDefault="00967C3A" w:rsidP="006E1D2D">
      <w:pPr>
        <w:spacing w:after="0" w:line="240" w:lineRule="auto"/>
        <w:jc w:val="both"/>
        <w:rPr>
          <w:rFonts w:ascii="Times New Roman" w:hAnsi="Times New Roman" w:cs="Times New Roman"/>
          <w:sz w:val="23"/>
          <w:szCs w:val="23"/>
          <w:lang w:val="ro-RO"/>
        </w:rPr>
      </w:pPr>
    </w:p>
    <w:sectPr w:rsidR="00967C3A" w:rsidRPr="007C266E" w:rsidSect="008942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B9A66" w14:textId="77777777" w:rsidR="006940AA" w:rsidRDefault="006940AA" w:rsidP="00D2056C">
      <w:pPr>
        <w:spacing w:after="0" w:line="240" w:lineRule="auto"/>
      </w:pPr>
      <w:r>
        <w:separator/>
      </w:r>
    </w:p>
  </w:endnote>
  <w:endnote w:type="continuationSeparator" w:id="0">
    <w:p w14:paraId="0B6012D6" w14:textId="77777777" w:rsidR="006940AA" w:rsidRDefault="006940AA" w:rsidP="00D2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654526"/>
      <w:docPartObj>
        <w:docPartGallery w:val="Page Numbers (Bottom of Page)"/>
        <w:docPartUnique/>
      </w:docPartObj>
    </w:sdtPr>
    <w:sdtEndPr/>
    <w:sdtContent>
      <w:sdt>
        <w:sdtPr>
          <w:id w:val="-992476947"/>
          <w:docPartObj>
            <w:docPartGallery w:val="Page Numbers (Top of Page)"/>
            <w:docPartUnique/>
          </w:docPartObj>
        </w:sdtPr>
        <w:sdtEndPr/>
        <w:sdtContent>
          <w:p w14:paraId="5C6FC858" w14:textId="4F4EDE7E" w:rsidR="00714502" w:rsidRDefault="00714502">
            <w:pPr>
              <w:pStyle w:val="Footer"/>
              <w:jc w:val="right"/>
            </w:pPr>
            <w:r>
              <w:rPr>
                <w:lang w:val="ro-RO"/>
              </w:rPr>
              <w:t xml:space="preserve">Pagină </w:t>
            </w:r>
            <w:r>
              <w:rPr>
                <w:b/>
                <w:bCs/>
                <w:sz w:val="24"/>
                <w:szCs w:val="24"/>
              </w:rPr>
              <w:fldChar w:fldCharType="begin"/>
            </w:r>
            <w:r>
              <w:rPr>
                <w:b/>
                <w:bCs/>
              </w:rPr>
              <w:instrText>PAGE</w:instrText>
            </w:r>
            <w:r>
              <w:rPr>
                <w:b/>
                <w:bCs/>
                <w:sz w:val="24"/>
                <w:szCs w:val="24"/>
              </w:rPr>
              <w:fldChar w:fldCharType="separate"/>
            </w:r>
            <w:r w:rsidR="005448AF">
              <w:rPr>
                <w:b/>
                <w:bCs/>
                <w:noProof/>
              </w:rPr>
              <w:t>2</w:t>
            </w:r>
            <w:r>
              <w:rPr>
                <w:b/>
                <w:bCs/>
                <w:sz w:val="24"/>
                <w:szCs w:val="24"/>
              </w:rPr>
              <w:fldChar w:fldCharType="end"/>
            </w:r>
            <w:r>
              <w:rPr>
                <w:lang w:val="ro-RO"/>
              </w:rPr>
              <w:t xml:space="preserve"> din </w:t>
            </w:r>
            <w:r>
              <w:rPr>
                <w:b/>
                <w:bCs/>
                <w:sz w:val="24"/>
                <w:szCs w:val="24"/>
              </w:rPr>
              <w:fldChar w:fldCharType="begin"/>
            </w:r>
            <w:r>
              <w:rPr>
                <w:b/>
                <w:bCs/>
              </w:rPr>
              <w:instrText>NUMPAGES</w:instrText>
            </w:r>
            <w:r>
              <w:rPr>
                <w:b/>
                <w:bCs/>
                <w:sz w:val="24"/>
                <w:szCs w:val="24"/>
              </w:rPr>
              <w:fldChar w:fldCharType="separate"/>
            </w:r>
            <w:r w:rsidR="005448AF">
              <w:rPr>
                <w:b/>
                <w:bCs/>
                <w:noProof/>
              </w:rPr>
              <w:t>72</w:t>
            </w:r>
            <w:r>
              <w:rPr>
                <w:b/>
                <w:bCs/>
                <w:sz w:val="24"/>
                <w:szCs w:val="24"/>
              </w:rPr>
              <w:fldChar w:fldCharType="end"/>
            </w:r>
          </w:p>
        </w:sdtContent>
      </w:sdt>
    </w:sdtContent>
  </w:sdt>
  <w:p w14:paraId="4765AEE3" w14:textId="77777777" w:rsidR="00714502" w:rsidRDefault="00714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138264"/>
      <w:docPartObj>
        <w:docPartGallery w:val="Page Numbers (Bottom of Page)"/>
        <w:docPartUnique/>
      </w:docPartObj>
    </w:sdtPr>
    <w:sdtEndPr/>
    <w:sdtContent>
      <w:sdt>
        <w:sdtPr>
          <w:id w:val="-786274831"/>
          <w:docPartObj>
            <w:docPartGallery w:val="Page Numbers (Top of Page)"/>
            <w:docPartUnique/>
          </w:docPartObj>
        </w:sdtPr>
        <w:sdtEndPr/>
        <w:sdtContent>
          <w:p w14:paraId="4ED63D7E" w14:textId="6FCBAD86" w:rsidR="00714502" w:rsidRDefault="00714502">
            <w:pPr>
              <w:pStyle w:val="Footer"/>
              <w:jc w:val="right"/>
            </w:pPr>
            <w:r>
              <w:rPr>
                <w:lang w:val="ro-RO"/>
              </w:rPr>
              <w:t xml:space="preserve">Pagină </w:t>
            </w:r>
            <w:r>
              <w:rPr>
                <w:b/>
                <w:bCs/>
                <w:sz w:val="24"/>
                <w:szCs w:val="24"/>
              </w:rPr>
              <w:fldChar w:fldCharType="begin"/>
            </w:r>
            <w:r>
              <w:rPr>
                <w:b/>
                <w:bCs/>
              </w:rPr>
              <w:instrText>PAGE</w:instrText>
            </w:r>
            <w:r>
              <w:rPr>
                <w:b/>
                <w:bCs/>
                <w:sz w:val="24"/>
                <w:szCs w:val="24"/>
              </w:rPr>
              <w:fldChar w:fldCharType="separate"/>
            </w:r>
            <w:r w:rsidR="005448AF">
              <w:rPr>
                <w:b/>
                <w:bCs/>
                <w:noProof/>
              </w:rPr>
              <w:t>22</w:t>
            </w:r>
            <w:r>
              <w:rPr>
                <w:b/>
                <w:bCs/>
                <w:sz w:val="24"/>
                <w:szCs w:val="24"/>
              </w:rPr>
              <w:fldChar w:fldCharType="end"/>
            </w:r>
            <w:r>
              <w:rPr>
                <w:lang w:val="ro-RO"/>
              </w:rPr>
              <w:t xml:space="preserve"> din </w:t>
            </w:r>
            <w:r>
              <w:rPr>
                <w:b/>
                <w:bCs/>
                <w:sz w:val="24"/>
                <w:szCs w:val="24"/>
              </w:rPr>
              <w:fldChar w:fldCharType="begin"/>
            </w:r>
            <w:r>
              <w:rPr>
                <w:b/>
                <w:bCs/>
              </w:rPr>
              <w:instrText>NUMPAGES</w:instrText>
            </w:r>
            <w:r>
              <w:rPr>
                <w:b/>
                <w:bCs/>
                <w:sz w:val="24"/>
                <w:szCs w:val="24"/>
              </w:rPr>
              <w:fldChar w:fldCharType="separate"/>
            </w:r>
            <w:r w:rsidR="005448AF">
              <w:rPr>
                <w:b/>
                <w:bCs/>
                <w:noProof/>
              </w:rPr>
              <w:t>72</w:t>
            </w:r>
            <w:r>
              <w:rPr>
                <w:b/>
                <w:bCs/>
                <w:sz w:val="24"/>
                <w:szCs w:val="24"/>
              </w:rPr>
              <w:fldChar w:fldCharType="end"/>
            </w:r>
          </w:p>
        </w:sdtContent>
      </w:sdt>
    </w:sdtContent>
  </w:sdt>
  <w:p w14:paraId="0C01E836" w14:textId="77777777" w:rsidR="00714502" w:rsidRDefault="00714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B80F2" w14:textId="77777777" w:rsidR="006940AA" w:rsidRDefault="006940AA" w:rsidP="00D2056C">
      <w:pPr>
        <w:spacing w:after="0" w:line="240" w:lineRule="auto"/>
      </w:pPr>
      <w:r>
        <w:separator/>
      </w:r>
    </w:p>
  </w:footnote>
  <w:footnote w:type="continuationSeparator" w:id="0">
    <w:p w14:paraId="685096F7" w14:textId="77777777" w:rsidR="006940AA" w:rsidRDefault="006940AA" w:rsidP="00D2056C">
      <w:pPr>
        <w:spacing w:after="0" w:line="240" w:lineRule="auto"/>
      </w:pPr>
      <w:r>
        <w:continuationSeparator/>
      </w:r>
    </w:p>
  </w:footnote>
  <w:footnote w:id="1">
    <w:p w14:paraId="2938B46D" w14:textId="77777777" w:rsidR="00714502" w:rsidRDefault="00714502" w:rsidP="001D5339">
      <w:pPr>
        <w:pStyle w:val="FootnoteText"/>
      </w:pPr>
      <w:r>
        <w:rPr>
          <w:vertAlign w:val="superscript"/>
        </w:rPr>
        <w:footnoteRef/>
      </w:r>
      <w:r>
        <w:rPr>
          <w:rFonts w:eastAsia="Arial Unicode MS" w:cs="Arial Unicode MS"/>
          <w:sz w:val="18"/>
          <w:szCs w:val="18"/>
        </w:rPr>
        <w:t xml:space="preserve"> estimări premergătoare studiilor de fezabilitate ce se vor finaliza la începutul trimestrului III 2020</w:t>
      </w:r>
    </w:p>
  </w:footnote>
  <w:footnote w:id="2">
    <w:p w14:paraId="7F6E8FE9" w14:textId="77777777" w:rsidR="00714502" w:rsidRPr="0036152A" w:rsidRDefault="00714502" w:rsidP="0077657B">
      <w:pPr>
        <w:pStyle w:val="FootnoteText"/>
      </w:pPr>
      <w:r w:rsidRPr="0036152A">
        <w:rPr>
          <w:rStyle w:val="FootnoteReference"/>
        </w:rPr>
        <w:footnoteRef/>
      </w:r>
      <w:r w:rsidRPr="0036152A">
        <w:t xml:space="preserve"> Planul de dezvoltare a sistemului național de transport Gaze Naturale 201</w:t>
      </w:r>
      <w:r>
        <w:t>9</w:t>
      </w:r>
      <w:r w:rsidRPr="0036152A">
        <w:t>-202</w:t>
      </w:r>
      <w:r>
        <w:t>8</w:t>
      </w:r>
      <w:r w:rsidRPr="0036152A">
        <w:t xml:space="preserve"> SNTGN Transgaz SA </w:t>
      </w:r>
      <w:r>
        <w:t>–</w:t>
      </w:r>
      <w:r w:rsidRPr="0036152A">
        <w:t xml:space="preserve"> </w:t>
      </w:r>
      <w:r>
        <w:t>aprobat ANRE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86FBC" w14:textId="77777777" w:rsidR="00714502" w:rsidRDefault="006940AA">
    <w:pPr>
      <w:pStyle w:val="Header"/>
    </w:pPr>
    <w:r>
      <w:rPr>
        <w:noProof/>
      </w:rPr>
      <w:pict w14:anchorId="31E27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214766"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DD54C" w14:textId="77777777" w:rsidR="00714502" w:rsidRDefault="006940AA">
    <w:pPr>
      <w:pStyle w:val="Header"/>
    </w:pPr>
    <w:r>
      <w:rPr>
        <w:noProof/>
      </w:rPr>
      <w:pict w14:anchorId="5739D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214767"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9D9AA" w14:textId="77777777" w:rsidR="00714502" w:rsidRDefault="006940AA">
    <w:pPr>
      <w:pStyle w:val="Header"/>
    </w:pPr>
    <w:r>
      <w:rPr>
        <w:noProof/>
      </w:rPr>
      <w:pict w14:anchorId="605B3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214765"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F24D" w14:textId="77777777" w:rsidR="00714502" w:rsidRDefault="006940AA">
    <w:pPr>
      <w:pStyle w:val="Header"/>
    </w:pPr>
    <w:r>
      <w:rPr>
        <w:noProof/>
      </w:rPr>
      <w:pict w14:anchorId="266C69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214769" o:spid="_x0000_s2053" type="#_x0000_t136" style="position:absolute;margin-left:0;margin-top:0;width:461.85pt;height:197.95pt;rotation:315;z-index:-25164902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4F6F" w14:textId="77777777" w:rsidR="00714502" w:rsidRDefault="006940AA">
    <w:pPr>
      <w:pStyle w:val="Header"/>
    </w:pPr>
    <w:r>
      <w:rPr>
        <w:noProof/>
      </w:rPr>
      <w:pict w14:anchorId="281E5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214770" o:spid="_x0000_s2054" type="#_x0000_t136" style="position:absolute;margin-left:0;margin-top:0;width:461.85pt;height:197.95pt;rotation:315;z-index:-25164697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CFE4" w14:textId="77777777" w:rsidR="00714502" w:rsidRDefault="006940AA">
    <w:pPr>
      <w:pStyle w:val="Header"/>
    </w:pPr>
    <w:r>
      <w:rPr>
        <w:noProof/>
      </w:rPr>
      <w:pict w14:anchorId="2FAA0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214768" o:spid="_x0000_s2052" type="#_x0000_t136" style="position:absolute;margin-left:0;margin-top:0;width:461.85pt;height:197.95pt;rotation:315;z-index:-25165107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3C55"/>
    <w:multiLevelType w:val="hybridMultilevel"/>
    <w:tmpl w:val="4A0864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151D9"/>
    <w:multiLevelType w:val="hybridMultilevel"/>
    <w:tmpl w:val="D66E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742A"/>
    <w:multiLevelType w:val="hybridMultilevel"/>
    <w:tmpl w:val="1A1020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2685F"/>
    <w:multiLevelType w:val="hybridMultilevel"/>
    <w:tmpl w:val="46F45D9C"/>
    <w:lvl w:ilvl="0" w:tplc="08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0340A"/>
    <w:multiLevelType w:val="hybridMultilevel"/>
    <w:tmpl w:val="5E50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44FF6"/>
    <w:multiLevelType w:val="hybridMultilevel"/>
    <w:tmpl w:val="CBD2E6F4"/>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CF41CFD"/>
    <w:multiLevelType w:val="hybridMultilevel"/>
    <w:tmpl w:val="EB9EA8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C1E7A"/>
    <w:multiLevelType w:val="hybridMultilevel"/>
    <w:tmpl w:val="E266283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24B14"/>
    <w:multiLevelType w:val="hybridMultilevel"/>
    <w:tmpl w:val="E45ACE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A70E2"/>
    <w:multiLevelType w:val="hybridMultilevel"/>
    <w:tmpl w:val="B6126F2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34E08"/>
    <w:multiLevelType w:val="multilevel"/>
    <w:tmpl w:val="8B2C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815217"/>
    <w:multiLevelType w:val="hybridMultilevel"/>
    <w:tmpl w:val="E5EAE0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26631"/>
    <w:multiLevelType w:val="hybridMultilevel"/>
    <w:tmpl w:val="1AB87AAE"/>
    <w:lvl w:ilvl="0" w:tplc="D9FA0ABC">
      <w:start w:val="1"/>
      <w:numFmt w:val="upperRoman"/>
      <w:lvlText w:val="%1."/>
      <w:lvlJc w:val="left"/>
      <w:pPr>
        <w:ind w:left="1288"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C27E5A"/>
    <w:multiLevelType w:val="hybridMultilevel"/>
    <w:tmpl w:val="A4700B70"/>
    <w:lvl w:ilvl="0" w:tplc="F1A6049E">
      <w:start w:val="4"/>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6E72634C"/>
    <w:multiLevelType w:val="hybridMultilevel"/>
    <w:tmpl w:val="18A6086C"/>
    <w:lvl w:ilvl="0" w:tplc="A958370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420E865A">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629D7"/>
    <w:multiLevelType w:val="hybridMultilevel"/>
    <w:tmpl w:val="2A94FDA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C0239"/>
    <w:multiLevelType w:val="multilevel"/>
    <w:tmpl w:val="D5B65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5"/>
  </w:num>
  <w:num w:numId="3">
    <w:abstractNumId w:val="0"/>
  </w:num>
  <w:num w:numId="4">
    <w:abstractNumId w:val="7"/>
  </w:num>
  <w:num w:numId="5">
    <w:abstractNumId w:val="9"/>
  </w:num>
  <w:num w:numId="6">
    <w:abstractNumId w:val="11"/>
  </w:num>
  <w:num w:numId="7">
    <w:abstractNumId w:val="12"/>
  </w:num>
  <w:num w:numId="8">
    <w:abstractNumId w:val="3"/>
  </w:num>
  <w:num w:numId="9">
    <w:abstractNumId w:val="1"/>
  </w:num>
  <w:num w:numId="10">
    <w:abstractNumId w:val="4"/>
  </w:num>
  <w:num w:numId="11">
    <w:abstractNumId w:val="2"/>
  </w:num>
  <w:num w:numId="12">
    <w:abstractNumId w:val="6"/>
  </w:num>
  <w:num w:numId="13">
    <w:abstractNumId w:val="5"/>
  </w:num>
  <w:num w:numId="14">
    <w:abstractNumId w:val="13"/>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trackRevision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AF"/>
    <w:rsid w:val="00000E9D"/>
    <w:rsid w:val="00001B47"/>
    <w:rsid w:val="00005415"/>
    <w:rsid w:val="00006C18"/>
    <w:rsid w:val="00006E80"/>
    <w:rsid w:val="00007934"/>
    <w:rsid w:val="00007A51"/>
    <w:rsid w:val="00007F92"/>
    <w:rsid w:val="000143BB"/>
    <w:rsid w:val="00014F7B"/>
    <w:rsid w:val="00015432"/>
    <w:rsid w:val="00016AA4"/>
    <w:rsid w:val="00017DB2"/>
    <w:rsid w:val="00021A7E"/>
    <w:rsid w:val="00023CF4"/>
    <w:rsid w:val="000252D8"/>
    <w:rsid w:val="00027DD2"/>
    <w:rsid w:val="000305DC"/>
    <w:rsid w:val="0003437F"/>
    <w:rsid w:val="0003481B"/>
    <w:rsid w:val="00035B45"/>
    <w:rsid w:val="00036291"/>
    <w:rsid w:val="000364A0"/>
    <w:rsid w:val="00037DF2"/>
    <w:rsid w:val="00042170"/>
    <w:rsid w:val="00042F6C"/>
    <w:rsid w:val="0004336B"/>
    <w:rsid w:val="0004734C"/>
    <w:rsid w:val="0005385C"/>
    <w:rsid w:val="00054552"/>
    <w:rsid w:val="00054C49"/>
    <w:rsid w:val="000562C8"/>
    <w:rsid w:val="00061416"/>
    <w:rsid w:val="00061D98"/>
    <w:rsid w:val="00063612"/>
    <w:rsid w:val="000704BB"/>
    <w:rsid w:val="0007343B"/>
    <w:rsid w:val="000747AF"/>
    <w:rsid w:val="00076643"/>
    <w:rsid w:val="00077F3C"/>
    <w:rsid w:val="0008042D"/>
    <w:rsid w:val="00080F2F"/>
    <w:rsid w:val="00081F04"/>
    <w:rsid w:val="00082051"/>
    <w:rsid w:val="00084000"/>
    <w:rsid w:val="000845FE"/>
    <w:rsid w:val="00085D3F"/>
    <w:rsid w:val="000866F2"/>
    <w:rsid w:val="00086B27"/>
    <w:rsid w:val="000873EB"/>
    <w:rsid w:val="00091E72"/>
    <w:rsid w:val="0009261F"/>
    <w:rsid w:val="0009384E"/>
    <w:rsid w:val="00096535"/>
    <w:rsid w:val="00096A00"/>
    <w:rsid w:val="000A102C"/>
    <w:rsid w:val="000A3613"/>
    <w:rsid w:val="000A4D12"/>
    <w:rsid w:val="000A72B9"/>
    <w:rsid w:val="000B2466"/>
    <w:rsid w:val="000B30C9"/>
    <w:rsid w:val="000B3BC8"/>
    <w:rsid w:val="000B627C"/>
    <w:rsid w:val="000B7001"/>
    <w:rsid w:val="000B7882"/>
    <w:rsid w:val="000C3640"/>
    <w:rsid w:val="000C3BC0"/>
    <w:rsid w:val="000C3E9C"/>
    <w:rsid w:val="000C5829"/>
    <w:rsid w:val="000C60A3"/>
    <w:rsid w:val="000C710C"/>
    <w:rsid w:val="000C7824"/>
    <w:rsid w:val="000D2B05"/>
    <w:rsid w:val="000D32B8"/>
    <w:rsid w:val="000D344D"/>
    <w:rsid w:val="000D3D06"/>
    <w:rsid w:val="000D721B"/>
    <w:rsid w:val="000D7893"/>
    <w:rsid w:val="000E2A04"/>
    <w:rsid w:val="000E4C76"/>
    <w:rsid w:val="000E5000"/>
    <w:rsid w:val="000E7999"/>
    <w:rsid w:val="000E7A5B"/>
    <w:rsid w:val="000F3AFE"/>
    <w:rsid w:val="000F665E"/>
    <w:rsid w:val="000F7E14"/>
    <w:rsid w:val="00100DD1"/>
    <w:rsid w:val="00103D70"/>
    <w:rsid w:val="00105FE8"/>
    <w:rsid w:val="00106C28"/>
    <w:rsid w:val="00107B31"/>
    <w:rsid w:val="00107FD4"/>
    <w:rsid w:val="001105F2"/>
    <w:rsid w:val="00111080"/>
    <w:rsid w:val="0011382E"/>
    <w:rsid w:val="001143AF"/>
    <w:rsid w:val="001164F1"/>
    <w:rsid w:val="001202CC"/>
    <w:rsid w:val="00122D44"/>
    <w:rsid w:val="00125603"/>
    <w:rsid w:val="0013410B"/>
    <w:rsid w:val="00136EC8"/>
    <w:rsid w:val="00137A51"/>
    <w:rsid w:val="00152BF5"/>
    <w:rsid w:val="00153343"/>
    <w:rsid w:val="00153B50"/>
    <w:rsid w:val="001574B6"/>
    <w:rsid w:val="0016063D"/>
    <w:rsid w:val="00161043"/>
    <w:rsid w:val="001615A8"/>
    <w:rsid w:val="00161809"/>
    <w:rsid w:val="00164F81"/>
    <w:rsid w:val="00167F1B"/>
    <w:rsid w:val="00174FFF"/>
    <w:rsid w:val="00177D2B"/>
    <w:rsid w:val="001814E6"/>
    <w:rsid w:val="001837ED"/>
    <w:rsid w:val="00183E77"/>
    <w:rsid w:val="00184BEC"/>
    <w:rsid w:val="0018686E"/>
    <w:rsid w:val="00190282"/>
    <w:rsid w:val="00191A6A"/>
    <w:rsid w:val="00191AE0"/>
    <w:rsid w:val="00191D38"/>
    <w:rsid w:val="001935F7"/>
    <w:rsid w:val="00193948"/>
    <w:rsid w:val="00194116"/>
    <w:rsid w:val="001976EA"/>
    <w:rsid w:val="001A07DE"/>
    <w:rsid w:val="001A0A3E"/>
    <w:rsid w:val="001A1EF1"/>
    <w:rsid w:val="001A72BE"/>
    <w:rsid w:val="001A75E3"/>
    <w:rsid w:val="001B2A38"/>
    <w:rsid w:val="001B3BFF"/>
    <w:rsid w:val="001B432C"/>
    <w:rsid w:val="001B47A0"/>
    <w:rsid w:val="001B4DC1"/>
    <w:rsid w:val="001B708C"/>
    <w:rsid w:val="001C0062"/>
    <w:rsid w:val="001C3355"/>
    <w:rsid w:val="001C5D45"/>
    <w:rsid w:val="001C68AB"/>
    <w:rsid w:val="001D0C56"/>
    <w:rsid w:val="001D33A4"/>
    <w:rsid w:val="001D345B"/>
    <w:rsid w:val="001D51A4"/>
    <w:rsid w:val="001D5339"/>
    <w:rsid w:val="001D69CD"/>
    <w:rsid w:val="001D7D03"/>
    <w:rsid w:val="001E0413"/>
    <w:rsid w:val="001E1E88"/>
    <w:rsid w:val="001E3CBF"/>
    <w:rsid w:val="001F3B3A"/>
    <w:rsid w:val="001F5F73"/>
    <w:rsid w:val="001F61D7"/>
    <w:rsid w:val="001F63CD"/>
    <w:rsid w:val="002002AC"/>
    <w:rsid w:val="00200B5D"/>
    <w:rsid w:val="00201188"/>
    <w:rsid w:val="00201936"/>
    <w:rsid w:val="00202F6D"/>
    <w:rsid w:val="00203107"/>
    <w:rsid w:val="002072EA"/>
    <w:rsid w:val="00211A1F"/>
    <w:rsid w:val="002123F0"/>
    <w:rsid w:val="00215856"/>
    <w:rsid w:val="00217118"/>
    <w:rsid w:val="00217437"/>
    <w:rsid w:val="00217A28"/>
    <w:rsid w:val="00217C05"/>
    <w:rsid w:val="002216FF"/>
    <w:rsid w:val="0022262A"/>
    <w:rsid w:val="00222C7F"/>
    <w:rsid w:val="002239EB"/>
    <w:rsid w:val="00230D43"/>
    <w:rsid w:val="00231E32"/>
    <w:rsid w:val="00235B4F"/>
    <w:rsid w:val="00236713"/>
    <w:rsid w:val="0024056A"/>
    <w:rsid w:val="002406CA"/>
    <w:rsid w:val="002410B5"/>
    <w:rsid w:val="002415D8"/>
    <w:rsid w:val="00245735"/>
    <w:rsid w:val="00245C9D"/>
    <w:rsid w:val="00247E99"/>
    <w:rsid w:val="0025001D"/>
    <w:rsid w:val="002500F7"/>
    <w:rsid w:val="002528F1"/>
    <w:rsid w:val="00252FA9"/>
    <w:rsid w:val="00253EC2"/>
    <w:rsid w:val="0026197F"/>
    <w:rsid w:val="0026232D"/>
    <w:rsid w:val="002635CD"/>
    <w:rsid w:val="002636DE"/>
    <w:rsid w:val="0026448D"/>
    <w:rsid w:val="002644F6"/>
    <w:rsid w:val="00270E89"/>
    <w:rsid w:val="00271EFF"/>
    <w:rsid w:val="00272EC9"/>
    <w:rsid w:val="0027574F"/>
    <w:rsid w:val="00275F21"/>
    <w:rsid w:val="00280D40"/>
    <w:rsid w:val="0028116C"/>
    <w:rsid w:val="00281494"/>
    <w:rsid w:val="0028209B"/>
    <w:rsid w:val="002869B1"/>
    <w:rsid w:val="002872A4"/>
    <w:rsid w:val="00290946"/>
    <w:rsid w:val="00295425"/>
    <w:rsid w:val="00296494"/>
    <w:rsid w:val="0029659D"/>
    <w:rsid w:val="00297757"/>
    <w:rsid w:val="002A05F1"/>
    <w:rsid w:val="002A2D6C"/>
    <w:rsid w:val="002A2EAB"/>
    <w:rsid w:val="002A6B39"/>
    <w:rsid w:val="002B4B2D"/>
    <w:rsid w:val="002B566C"/>
    <w:rsid w:val="002B72FD"/>
    <w:rsid w:val="002B748D"/>
    <w:rsid w:val="002B799E"/>
    <w:rsid w:val="002C0039"/>
    <w:rsid w:val="002C26D2"/>
    <w:rsid w:val="002C2D08"/>
    <w:rsid w:val="002C5C85"/>
    <w:rsid w:val="002C7DA6"/>
    <w:rsid w:val="002D6B21"/>
    <w:rsid w:val="002D6EF4"/>
    <w:rsid w:val="002D77E6"/>
    <w:rsid w:val="002D7F9C"/>
    <w:rsid w:val="002E223C"/>
    <w:rsid w:val="002E4AC2"/>
    <w:rsid w:val="002E5A25"/>
    <w:rsid w:val="002F0C2E"/>
    <w:rsid w:val="002F2556"/>
    <w:rsid w:val="002F3C7C"/>
    <w:rsid w:val="002F4DBF"/>
    <w:rsid w:val="002F5C09"/>
    <w:rsid w:val="002F638A"/>
    <w:rsid w:val="002F792E"/>
    <w:rsid w:val="003037A4"/>
    <w:rsid w:val="00307A36"/>
    <w:rsid w:val="00307D34"/>
    <w:rsid w:val="003104F6"/>
    <w:rsid w:val="00312E84"/>
    <w:rsid w:val="0031395A"/>
    <w:rsid w:val="00313D09"/>
    <w:rsid w:val="003225DF"/>
    <w:rsid w:val="003232B8"/>
    <w:rsid w:val="003232F7"/>
    <w:rsid w:val="00323E2F"/>
    <w:rsid w:val="003272FE"/>
    <w:rsid w:val="00327AA7"/>
    <w:rsid w:val="0033094F"/>
    <w:rsid w:val="00331606"/>
    <w:rsid w:val="00335216"/>
    <w:rsid w:val="00337451"/>
    <w:rsid w:val="00340D51"/>
    <w:rsid w:val="003411A0"/>
    <w:rsid w:val="00341C8A"/>
    <w:rsid w:val="0034447F"/>
    <w:rsid w:val="00345AFB"/>
    <w:rsid w:val="00351DAB"/>
    <w:rsid w:val="0035232A"/>
    <w:rsid w:val="00356173"/>
    <w:rsid w:val="00357F48"/>
    <w:rsid w:val="00357F87"/>
    <w:rsid w:val="00361FDC"/>
    <w:rsid w:val="003630FB"/>
    <w:rsid w:val="00363516"/>
    <w:rsid w:val="00365015"/>
    <w:rsid w:val="00365910"/>
    <w:rsid w:val="00366D06"/>
    <w:rsid w:val="00370165"/>
    <w:rsid w:val="00371554"/>
    <w:rsid w:val="0037479D"/>
    <w:rsid w:val="00375A52"/>
    <w:rsid w:val="0037608D"/>
    <w:rsid w:val="0037622A"/>
    <w:rsid w:val="0038022C"/>
    <w:rsid w:val="003807FD"/>
    <w:rsid w:val="0038288E"/>
    <w:rsid w:val="0038446D"/>
    <w:rsid w:val="00386FB5"/>
    <w:rsid w:val="0038752B"/>
    <w:rsid w:val="00387D1A"/>
    <w:rsid w:val="00391DD8"/>
    <w:rsid w:val="00392327"/>
    <w:rsid w:val="00393588"/>
    <w:rsid w:val="00393A2E"/>
    <w:rsid w:val="003A0CCB"/>
    <w:rsid w:val="003A13E2"/>
    <w:rsid w:val="003A3907"/>
    <w:rsid w:val="003A71E4"/>
    <w:rsid w:val="003A79AB"/>
    <w:rsid w:val="003B1217"/>
    <w:rsid w:val="003B16D4"/>
    <w:rsid w:val="003B174F"/>
    <w:rsid w:val="003B1B7E"/>
    <w:rsid w:val="003B3026"/>
    <w:rsid w:val="003B4247"/>
    <w:rsid w:val="003B5C3A"/>
    <w:rsid w:val="003B60E1"/>
    <w:rsid w:val="003B6BD8"/>
    <w:rsid w:val="003B75C8"/>
    <w:rsid w:val="003C5833"/>
    <w:rsid w:val="003C5ED6"/>
    <w:rsid w:val="003C6AA4"/>
    <w:rsid w:val="003C714C"/>
    <w:rsid w:val="003D2FA8"/>
    <w:rsid w:val="003D4330"/>
    <w:rsid w:val="003D5749"/>
    <w:rsid w:val="003D5DE0"/>
    <w:rsid w:val="003E03BF"/>
    <w:rsid w:val="003E481E"/>
    <w:rsid w:val="003E6BDF"/>
    <w:rsid w:val="003E74F0"/>
    <w:rsid w:val="003E7D5E"/>
    <w:rsid w:val="003F5093"/>
    <w:rsid w:val="00405357"/>
    <w:rsid w:val="00405A9C"/>
    <w:rsid w:val="00406523"/>
    <w:rsid w:val="00410611"/>
    <w:rsid w:val="00411BAE"/>
    <w:rsid w:val="00416335"/>
    <w:rsid w:val="004165E4"/>
    <w:rsid w:val="00417822"/>
    <w:rsid w:val="00417EC1"/>
    <w:rsid w:val="00423039"/>
    <w:rsid w:val="004235A6"/>
    <w:rsid w:val="00432C8B"/>
    <w:rsid w:val="0043324A"/>
    <w:rsid w:val="004358A5"/>
    <w:rsid w:val="0044120D"/>
    <w:rsid w:val="00441BC7"/>
    <w:rsid w:val="004443D4"/>
    <w:rsid w:val="00445D61"/>
    <w:rsid w:val="0044602B"/>
    <w:rsid w:val="004477EF"/>
    <w:rsid w:val="0045004C"/>
    <w:rsid w:val="00450E9C"/>
    <w:rsid w:val="00452714"/>
    <w:rsid w:val="004548D8"/>
    <w:rsid w:val="00455428"/>
    <w:rsid w:val="0045688B"/>
    <w:rsid w:val="0046119C"/>
    <w:rsid w:val="0046410B"/>
    <w:rsid w:val="00470EA6"/>
    <w:rsid w:val="00471096"/>
    <w:rsid w:val="004736B7"/>
    <w:rsid w:val="00473AC7"/>
    <w:rsid w:val="00473FBA"/>
    <w:rsid w:val="0047475D"/>
    <w:rsid w:val="004753B3"/>
    <w:rsid w:val="004758AF"/>
    <w:rsid w:val="00475F4E"/>
    <w:rsid w:val="004762B0"/>
    <w:rsid w:val="00477376"/>
    <w:rsid w:val="00480CF5"/>
    <w:rsid w:val="00480CFD"/>
    <w:rsid w:val="00480DDC"/>
    <w:rsid w:val="00482904"/>
    <w:rsid w:val="00482BBC"/>
    <w:rsid w:val="00484871"/>
    <w:rsid w:val="00484E2C"/>
    <w:rsid w:val="0048586A"/>
    <w:rsid w:val="004858EC"/>
    <w:rsid w:val="00485D2B"/>
    <w:rsid w:val="00487672"/>
    <w:rsid w:val="00493D0C"/>
    <w:rsid w:val="004A054A"/>
    <w:rsid w:val="004A104B"/>
    <w:rsid w:val="004A176D"/>
    <w:rsid w:val="004A1F28"/>
    <w:rsid w:val="004A6B0F"/>
    <w:rsid w:val="004A76B7"/>
    <w:rsid w:val="004B388D"/>
    <w:rsid w:val="004B4A53"/>
    <w:rsid w:val="004B5E76"/>
    <w:rsid w:val="004B71C1"/>
    <w:rsid w:val="004C0A28"/>
    <w:rsid w:val="004C0E02"/>
    <w:rsid w:val="004C0FC3"/>
    <w:rsid w:val="004C5EDF"/>
    <w:rsid w:val="004C68EF"/>
    <w:rsid w:val="004D0D81"/>
    <w:rsid w:val="004D79B4"/>
    <w:rsid w:val="004D7FD8"/>
    <w:rsid w:val="004E0D8D"/>
    <w:rsid w:val="004E2EB3"/>
    <w:rsid w:val="004E48ED"/>
    <w:rsid w:val="004E5651"/>
    <w:rsid w:val="004E59E3"/>
    <w:rsid w:val="004F0507"/>
    <w:rsid w:val="004F0AB7"/>
    <w:rsid w:val="004F1E73"/>
    <w:rsid w:val="004F3779"/>
    <w:rsid w:val="004F48BD"/>
    <w:rsid w:val="004F5ECF"/>
    <w:rsid w:val="004F7B8D"/>
    <w:rsid w:val="00502D70"/>
    <w:rsid w:val="00504B4D"/>
    <w:rsid w:val="00505AD3"/>
    <w:rsid w:val="00510977"/>
    <w:rsid w:val="00510FF8"/>
    <w:rsid w:val="00512ECB"/>
    <w:rsid w:val="00512FAD"/>
    <w:rsid w:val="00514CEB"/>
    <w:rsid w:val="00520C5C"/>
    <w:rsid w:val="00521764"/>
    <w:rsid w:val="00523E76"/>
    <w:rsid w:val="00524B3F"/>
    <w:rsid w:val="005260B4"/>
    <w:rsid w:val="00527E96"/>
    <w:rsid w:val="00532018"/>
    <w:rsid w:val="0053315D"/>
    <w:rsid w:val="0053492D"/>
    <w:rsid w:val="00537455"/>
    <w:rsid w:val="00542993"/>
    <w:rsid w:val="00544107"/>
    <w:rsid w:val="005448AF"/>
    <w:rsid w:val="00545572"/>
    <w:rsid w:val="00546777"/>
    <w:rsid w:val="00550554"/>
    <w:rsid w:val="00550CDE"/>
    <w:rsid w:val="005513D4"/>
    <w:rsid w:val="005516CD"/>
    <w:rsid w:val="00551EBB"/>
    <w:rsid w:val="005537D5"/>
    <w:rsid w:val="005539EE"/>
    <w:rsid w:val="00555793"/>
    <w:rsid w:val="00557B94"/>
    <w:rsid w:val="00557CF5"/>
    <w:rsid w:val="00560D32"/>
    <w:rsid w:val="0056118F"/>
    <w:rsid w:val="005635CD"/>
    <w:rsid w:val="00566A72"/>
    <w:rsid w:val="005671AB"/>
    <w:rsid w:val="00567738"/>
    <w:rsid w:val="00570F23"/>
    <w:rsid w:val="00571A67"/>
    <w:rsid w:val="00573667"/>
    <w:rsid w:val="005746F4"/>
    <w:rsid w:val="00574887"/>
    <w:rsid w:val="0057784A"/>
    <w:rsid w:val="005814CF"/>
    <w:rsid w:val="00581A6F"/>
    <w:rsid w:val="00582E97"/>
    <w:rsid w:val="00584D9B"/>
    <w:rsid w:val="0058503E"/>
    <w:rsid w:val="00590A73"/>
    <w:rsid w:val="00591245"/>
    <w:rsid w:val="00591BA2"/>
    <w:rsid w:val="005945CD"/>
    <w:rsid w:val="00594677"/>
    <w:rsid w:val="00594863"/>
    <w:rsid w:val="00596603"/>
    <w:rsid w:val="0059685A"/>
    <w:rsid w:val="00597699"/>
    <w:rsid w:val="00597770"/>
    <w:rsid w:val="00597E60"/>
    <w:rsid w:val="005A2B1D"/>
    <w:rsid w:val="005B0420"/>
    <w:rsid w:val="005B096F"/>
    <w:rsid w:val="005B1CFD"/>
    <w:rsid w:val="005B3547"/>
    <w:rsid w:val="005B6B58"/>
    <w:rsid w:val="005B6E8D"/>
    <w:rsid w:val="005C0483"/>
    <w:rsid w:val="005C1475"/>
    <w:rsid w:val="005C1FB7"/>
    <w:rsid w:val="005C32A7"/>
    <w:rsid w:val="005C77A8"/>
    <w:rsid w:val="005C7AB2"/>
    <w:rsid w:val="005C7FCA"/>
    <w:rsid w:val="005D29AF"/>
    <w:rsid w:val="005D3F97"/>
    <w:rsid w:val="005D4186"/>
    <w:rsid w:val="005D534A"/>
    <w:rsid w:val="005D54D9"/>
    <w:rsid w:val="005D59D8"/>
    <w:rsid w:val="005D6CA0"/>
    <w:rsid w:val="005D7964"/>
    <w:rsid w:val="005E1C25"/>
    <w:rsid w:val="005E6F24"/>
    <w:rsid w:val="005E71C2"/>
    <w:rsid w:val="005F01FA"/>
    <w:rsid w:val="005F0CE7"/>
    <w:rsid w:val="005F27B5"/>
    <w:rsid w:val="005F4813"/>
    <w:rsid w:val="006008CA"/>
    <w:rsid w:val="0060148B"/>
    <w:rsid w:val="006020D8"/>
    <w:rsid w:val="00602B0D"/>
    <w:rsid w:val="00603B22"/>
    <w:rsid w:val="00604B51"/>
    <w:rsid w:val="00604BBB"/>
    <w:rsid w:val="00604F23"/>
    <w:rsid w:val="006104B7"/>
    <w:rsid w:val="00620242"/>
    <w:rsid w:val="00624EB7"/>
    <w:rsid w:val="00625598"/>
    <w:rsid w:val="00631422"/>
    <w:rsid w:val="00633B2E"/>
    <w:rsid w:val="006346F3"/>
    <w:rsid w:val="00634F9B"/>
    <w:rsid w:val="00635208"/>
    <w:rsid w:val="00637AF0"/>
    <w:rsid w:val="006403D7"/>
    <w:rsid w:val="00640D88"/>
    <w:rsid w:val="0064142C"/>
    <w:rsid w:val="00644647"/>
    <w:rsid w:val="006462D5"/>
    <w:rsid w:val="00650B0D"/>
    <w:rsid w:val="006533F1"/>
    <w:rsid w:val="00653522"/>
    <w:rsid w:val="00653B89"/>
    <w:rsid w:val="00653E54"/>
    <w:rsid w:val="00654872"/>
    <w:rsid w:val="00656E41"/>
    <w:rsid w:val="0066131C"/>
    <w:rsid w:val="00663186"/>
    <w:rsid w:val="00663594"/>
    <w:rsid w:val="00670BE9"/>
    <w:rsid w:val="00671B82"/>
    <w:rsid w:val="00671D9F"/>
    <w:rsid w:val="00673E52"/>
    <w:rsid w:val="00674F37"/>
    <w:rsid w:val="00677667"/>
    <w:rsid w:val="00677AD8"/>
    <w:rsid w:val="00680524"/>
    <w:rsid w:val="006825B7"/>
    <w:rsid w:val="0068362E"/>
    <w:rsid w:val="0069146D"/>
    <w:rsid w:val="00693172"/>
    <w:rsid w:val="00693A7F"/>
    <w:rsid w:val="006940AA"/>
    <w:rsid w:val="00694994"/>
    <w:rsid w:val="00696580"/>
    <w:rsid w:val="006A0095"/>
    <w:rsid w:val="006A0292"/>
    <w:rsid w:val="006A3B03"/>
    <w:rsid w:val="006A4321"/>
    <w:rsid w:val="006A4ABF"/>
    <w:rsid w:val="006A4D31"/>
    <w:rsid w:val="006A64E1"/>
    <w:rsid w:val="006A6609"/>
    <w:rsid w:val="006B1149"/>
    <w:rsid w:val="006B2B28"/>
    <w:rsid w:val="006B32A7"/>
    <w:rsid w:val="006B5452"/>
    <w:rsid w:val="006B550B"/>
    <w:rsid w:val="006B7D64"/>
    <w:rsid w:val="006B7E2D"/>
    <w:rsid w:val="006C23A6"/>
    <w:rsid w:val="006C3AE7"/>
    <w:rsid w:val="006C46D7"/>
    <w:rsid w:val="006C4892"/>
    <w:rsid w:val="006C4D05"/>
    <w:rsid w:val="006C6431"/>
    <w:rsid w:val="006C6E04"/>
    <w:rsid w:val="006D189A"/>
    <w:rsid w:val="006D1CFD"/>
    <w:rsid w:val="006D2777"/>
    <w:rsid w:val="006D6B62"/>
    <w:rsid w:val="006D78BF"/>
    <w:rsid w:val="006E0B1E"/>
    <w:rsid w:val="006E0E83"/>
    <w:rsid w:val="006E1D2D"/>
    <w:rsid w:val="006E4C16"/>
    <w:rsid w:val="006F0C3D"/>
    <w:rsid w:val="006F0EF7"/>
    <w:rsid w:val="007017D5"/>
    <w:rsid w:val="007051BB"/>
    <w:rsid w:val="00705399"/>
    <w:rsid w:val="0070560A"/>
    <w:rsid w:val="00705694"/>
    <w:rsid w:val="007100C7"/>
    <w:rsid w:val="00712DA8"/>
    <w:rsid w:val="00714502"/>
    <w:rsid w:val="007160AA"/>
    <w:rsid w:val="00716D9D"/>
    <w:rsid w:val="007250F1"/>
    <w:rsid w:val="00725D75"/>
    <w:rsid w:val="007261E9"/>
    <w:rsid w:val="0072624A"/>
    <w:rsid w:val="00727775"/>
    <w:rsid w:val="00727797"/>
    <w:rsid w:val="00730EAB"/>
    <w:rsid w:val="007310D7"/>
    <w:rsid w:val="00731EE0"/>
    <w:rsid w:val="007327E2"/>
    <w:rsid w:val="007339A9"/>
    <w:rsid w:val="00734F19"/>
    <w:rsid w:val="00736540"/>
    <w:rsid w:val="0074000A"/>
    <w:rsid w:val="0074237E"/>
    <w:rsid w:val="007448B1"/>
    <w:rsid w:val="007468B4"/>
    <w:rsid w:val="00750CF6"/>
    <w:rsid w:val="00756D0A"/>
    <w:rsid w:val="00757482"/>
    <w:rsid w:val="00757E12"/>
    <w:rsid w:val="00761F17"/>
    <w:rsid w:val="007629BF"/>
    <w:rsid w:val="00763B58"/>
    <w:rsid w:val="00763DBA"/>
    <w:rsid w:val="0077353C"/>
    <w:rsid w:val="0077657B"/>
    <w:rsid w:val="00781FC9"/>
    <w:rsid w:val="00782004"/>
    <w:rsid w:val="00783BBE"/>
    <w:rsid w:val="00786040"/>
    <w:rsid w:val="007905C8"/>
    <w:rsid w:val="007907BF"/>
    <w:rsid w:val="00790C2D"/>
    <w:rsid w:val="007957F2"/>
    <w:rsid w:val="00795BB0"/>
    <w:rsid w:val="00796EC6"/>
    <w:rsid w:val="00797E93"/>
    <w:rsid w:val="007A206B"/>
    <w:rsid w:val="007A39DE"/>
    <w:rsid w:val="007A459A"/>
    <w:rsid w:val="007A538E"/>
    <w:rsid w:val="007A5D52"/>
    <w:rsid w:val="007A7509"/>
    <w:rsid w:val="007B0865"/>
    <w:rsid w:val="007B1545"/>
    <w:rsid w:val="007B1F10"/>
    <w:rsid w:val="007B30D9"/>
    <w:rsid w:val="007B4E6D"/>
    <w:rsid w:val="007B4EEB"/>
    <w:rsid w:val="007B64B0"/>
    <w:rsid w:val="007B6EA0"/>
    <w:rsid w:val="007B71E4"/>
    <w:rsid w:val="007B788D"/>
    <w:rsid w:val="007C06B8"/>
    <w:rsid w:val="007C08F5"/>
    <w:rsid w:val="007C2565"/>
    <w:rsid w:val="007C266E"/>
    <w:rsid w:val="007D020A"/>
    <w:rsid w:val="007D04E2"/>
    <w:rsid w:val="007D32E9"/>
    <w:rsid w:val="007D5F12"/>
    <w:rsid w:val="007D738D"/>
    <w:rsid w:val="007D73A6"/>
    <w:rsid w:val="007D7F84"/>
    <w:rsid w:val="007E2822"/>
    <w:rsid w:val="007E39E6"/>
    <w:rsid w:val="007E3C6E"/>
    <w:rsid w:val="007E4F3E"/>
    <w:rsid w:val="007E4F9D"/>
    <w:rsid w:val="007E607D"/>
    <w:rsid w:val="007F0EEE"/>
    <w:rsid w:val="007F20EF"/>
    <w:rsid w:val="007F2ADC"/>
    <w:rsid w:val="007F550F"/>
    <w:rsid w:val="007F737B"/>
    <w:rsid w:val="008019CF"/>
    <w:rsid w:val="0080416C"/>
    <w:rsid w:val="00805C83"/>
    <w:rsid w:val="00806234"/>
    <w:rsid w:val="008113C8"/>
    <w:rsid w:val="00812395"/>
    <w:rsid w:val="008164F9"/>
    <w:rsid w:val="0082356E"/>
    <w:rsid w:val="00823B7C"/>
    <w:rsid w:val="00824690"/>
    <w:rsid w:val="00824AC0"/>
    <w:rsid w:val="00826882"/>
    <w:rsid w:val="00831944"/>
    <w:rsid w:val="008370F3"/>
    <w:rsid w:val="0084004D"/>
    <w:rsid w:val="008407AD"/>
    <w:rsid w:val="0084135A"/>
    <w:rsid w:val="00841822"/>
    <w:rsid w:val="00842663"/>
    <w:rsid w:val="00843B67"/>
    <w:rsid w:val="008446E1"/>
    <w:rsid w:val="00845645"/>
    <w:rsid w:val="00846BEA"/>
    <w:rsid w:val="00850D8E"/>
    <w:rsid w:val="008516B4"/>
    <w:rsid w:val="0085188B"/>
    <w:rsid w:val="008535BD"/>
    <w:rsid w:val="008552AE"/>
    <w:rsid w:val="00855657"/>
    <w:rsid w:val="0086064F"/>
    <w:rsid w:val="00860BFD"/>
    <w:rsid w:val="00860F05"/>
    <w:rsid w:val="00862011"/>
    <w:rsid w:val="00862746"/>
    <w:rsid w:val="00864AEE"/>
    <w:rsid w:val="00864DB2"/>
    <w:rsid w:val="008701ED"/>
    <w:rsid w:val="008706B8"/>
    <w:rsid w:val="0087126E"/>
    <w:rsid w:val="008718E6"/>
    <w:rsid w:val="00873589"/>
    <w:rsid w:val="008746D4"/>
    <w:rsid w:val="00874DB8"/>
    <w:rsid w:val="008773CF"/>
    <w:rsid w:val="008777D4"/>
    <w:rsid w:val="0088067F"/>
    <w:rsid w:val="0088156C"/>
    <w:rsid w:val="008827E2"/>
    <w:rsid w:val="00883595"/>
    <w:rsid w:val="00885485"/>
    <w:rsid w:val="00885CEE"/>
    <w:rsid w:val="00885E44"/>
    <w:rsid w:val="00893642"/>
    <w:rsid w:val="008938E6"/>
    <w:rsid w:val="0089425F"/>
    <w:rsid w:val="00894C32"/>
    <w:rsid w:val="00897355"/>
    <w:rsid w:val="008A22D9"/>
    <w:rsid w:val="008A350F"/>
    <w:rsid w:val="008A755B"/>
    <w:rsid w:val="008B0917"/>
    <w:rsid w:val="008B2759"/>
    <w:rsid w:val="008B5EA2"/>
    <w:rsid w:val="008B6519"/>
    <w:rsid w:val="008C0807"/>
    <w:rsid w:val="008C0DBD"/>
    <w:rsid w:val="008C29E2"/>
    <w:rsid w:val="008C36F9"/>
    <w:rsid w:val="008C39B4"/>
    <w:rsid w:val="008C4353"/>
    <w:rsid w:val="008C5946"/>
    <w:rsid w:val="008C7F46"/>
    <w:rsid w:val="008D0A93"/>
    <w:rsid w:val="008D11F1"/>
    <w:rsid w:val="008D137E"/>
    <w:rsid w:val="008D1731"/>
    <w:rsid w:val="008D17E4"/>
    <w:rsid w:val="008D2887"/>
    <w:rsid w:val="008D44E3"/>
    <w:rsid w:val="008D56B8"/>
    <w:rsid w:val="008D5BFF"/>
    <w:rsid w:val="008D6039"/>
    <w:rsid w:val="008D60CD"/>
    <w:rsid w:val="008E1024"/>
    <w:rsid w:val="008E194E"/>
    <w:rsid w:val="008E262C"/>
    <w:rsid w:val="008E3ACD"/>
    <w:rsid w:val="008E5941"/>
    <w:rsid w:val="008E647B"/>
    <w:rsid w:val="008E6C8A"/>
    <w:rsid w:val="008F0C77"/>
    <w:rsid w:val="008F1CB0"/>
    <w:rsid w:val="008F2039"/>
    <w:rsid w:val="008F3E74"/>
    <w:rsid w:val="008F4383"/>
    <w:rsid w:val="008F6C45"/>
    <w:rsid w:val="009017E2"/>
    <w:rsid w:val="0090201C"/>
    <w:rsid w:val="00905D11"/>
    <w:rsid w:val="0090604F"/>
    <w:rsid w:val="00906F01"/>
    <w:rsid w:val="00907DF4"/>
    <w:rsid w:val="00910785"/>
    <w:rsid w:val="00910893"/>
    <w:rsid w:val="0091178A"/>
    <w:rsid w:val="00912C40"/>
    <w:rsid w:val="00914863"/>
    <w:rsid w:val="00916BF6"/>
    <w:rsid w:val="00922707"/>
    <w:rsid w:val="00922C8D"/>
    <w:rsid w:val="009240F1"/>
    <w:rsid w:val="00927991"/>
    <w:rsid w:val="00933328"/>
    <w:rsid w:val="00933814"/>
    <w:rsid w:val="00934BD0"/>
    <w:rsid w:val="009403B4"/>
    <w:rsid w:val="00940777"/>
    <w:rsid w:val="0095246C"/>
    <w:rsid w:val="00954AF4"/>
    <w:rsid w:val="00955090"/>
    <w:rsid w:val="00955E67"/>
    <w:rsid w:val="00957400"/>
    <w:rsid w:val="00963DBE"/>
    <w:rsid w:val="00964641"/>
    <w:rsid w:val="00967C3A"/>
    <w:rsid w:val="00967F19"/>
    <w:rsid w:val="00972915"/>
    <w:rsid w:val="0097411B"/>
    <w:rsid w:val="009773BE"/>
    <w:rsid w:val="0098001E"/>
    <w:rsid w:val="00980847"/>
    <w:rsid w:val="00980BC0"/>
    <w:rsid w:val="00981C81"/>
    <w:rsid w:val="009825F4"/>
    <w:rsid w:val="00982FD4"/>
    <w:rsid w:val="0098318D"/>
    <w:rsid w:val="00984D06"/>
    <w:rsid w:val="00987CBF"/>
    <w:rsid w:val="00991769"/>
    <w:rsid w:val="00993D0E"/>
    <w:rsid w:val="00994A14"/>
    <w:rsid w:val="009970BD"/>
    <w:rsid w:val="009A072B"/>
    <w:rsid w:val="009A2C53"/>
    <w:rsid w:val="009A3E60"/>
    <w:rsid w:val="009A4644"/>
    <w:rsid w:val="009A51AA"/>
    <w:rsid w:val="009A53AA"/>
    <w:rsid w:val="009A6B01"/>
    <w:rsid w:val="009A78BF"/>
    <w:rsid w:val="009B0119"/>
    <w:rsid w:val="009B0BF1"/>
    <w:rsid w:val="009B2B61"/>
    <w:rsid w:val="009B3389"/>
    <w:rsid w:val="009B3EB1"/>
    <w:rsid w:val="009B407A"/>
    <w:rsid w:val="009B4693"/>
    <w:rsid w:val="009B4D29"/>
    <w:rsid w:val="009B60E8"/>
    <w:rsid w:val="009B7CA9"/>
    <w:rsid w:val="009C0B15"/>
    <w:rsid w:val="009C2163"/>
    <w:rsid w:val="009C2320"/>
    <w:rsid w:val="009C2C8F"/>
    <w:rsid w:val="009C5DE4"/>
    <w:rsid w:val="009C6225"/>
    <w:rsid w:val="009C6725"/>
    <w:rsid w:val="009C77AF"/>
    <w:rsid w:val="009D3504"/>
    <w:rsid w:val="009D3929"/>
    <w:rsid w:val="009D44D6"/>
    <w:rsid w:val="009D495C"/>
    <w:rsid w:val="009D5815"/>
    <w:rsid w:val="009D6F52"/>
    <w:rsid w:val="009E00AF"/>
    <w:rsid w:val="009E2694"/>
    <w:rsid w:val="009E388F"/>
    <w:rsid w:val="009E40F6"/>
    <w:rsid w:val="009E4301"/>
    <w:rsid w:val="009E5804"/>
    <w:rsid w:val="009E5B5E"/>
    <w:rsid w:val="009E657E"/>
    <w:rsid w:val="009E7129"/>
    <w:rsid w:val="009E7AD6"/>
    <w:rsid w:val="009F0F96"/>
    <w:rsid w:val="009F4E2C"/>
    <w:rsid w:val="009F5B0F"/>
    <w:rsid w:val="00A0085E"/>
    <w:rsid w:val="00A00CBB"/>
    <w:rsid w:val="00A01606"/>
    <w:rsid w:val="00A047AF"/>
    <w:rsid w:val="00A059B8"/>
    <w:rsid w:val="00A05AD9"/>
    <w:rsid w:val="00A06E95"/>
    <w:rsid w:val="00A072E7"/>
    <w:rsid w:val="00A07A14"/>
    <w:rsid w:val="00A10E56"/>
    <w:rsid w:val="00A11702"/>
    <w:rsid w:val="00A13E17"/>
    <w:rsid w:val="00A14212"/>
    <w:rsid w:val="00A2028E"/>
    <w:rsid w:val="00A220E8"/>
    <w:rsid w:val="00A24EAF"/>
    <w:rsid w:val="00A25F8F"/>
    <w:rsid w:val="00A27943"/>
    <w:rsid w:val="00A27AAF"/>
    <w:rsid w:val="00A27B67"/>
    <w:rsid w:val="00A344D0"/>
    <w:rsid w:val="00A3567D"/>
    <w:rsid w:val="00A442BF"/>
    <w:rsid w:val="00A44734"/>
    <w:rsid w:val="00A46D6E"/>
    <w:rsid w:val="00A500D2"/>
    <w:rsid w:val="00A51139"/>
    <w:rsid w:val="00A51599"/>
    <w:rsid w:val="00A5605F"/>
    <w:rsid w:val="00A56A1A"/>
    <w:rsid w:val="00A56BB5"/>
    <w:rsid w:val="00A574F7"/>
    <w:rsid w:val="00A575AB"/>
    <w:rsid w:val="00A57616"/>
    <w:rsid w:val="00A57D49"/>
    <w:rsid w:val="00A60F1E"/>
    <w:rsid w:val="00A61218"/>
    <w:rsid w:val="00A63CBB"/>
    <w:rsid w:val="00A66A27"/>
    <w:rsid w:val="00A679B9"/>
    <w:rsid w:val="00A728BF"/>
    <w:rsid w:val="00A72EED"/>
    <w:rsid w:val="00A7380D"/>
    <w:rsid w:val="00A7405B"/>
    <w:rsid w:val="00A745DF"/>
    <w:rsid w:val="00A74A30"/>
    <w:rsid w:val="00A76307"/>
    <w:rsid w:val="00A805D2"/>
    <w:rsid w:val="00A823A1"/>
    <w:rsid w:val="00A8623E"/>
    <w:rsid w:val="00A8655E"/>
    <w:rsid w:val="00A86877"/>
    <w:rsid w:val="00A87A83"/>
    <w:rsid w:val="00A93694"/>
    <w:rsid w:val="00A96EEB"/>
    <w:rsid w:val="00AA10C3"/>
    <w:rsid w:val="00AA1D2A"/>
    <w:rsid w:val="00AA210B"/>
    <w:rsid w:val="00AA565E"/>
    <w:rsid w:val="00AA6241"/>
    <w:rsid w:val="00AB14E1"/>
    <w:rsid w:val="00AB17C3"/>
    <w:rsid w:val="00AB28CF"/>
    <w:rsid w:val="00AB2EB9"/>
    <w:rsid w:val="00AB3F6E"/>
    <w:rsid w:val="00AB4086"/>
    <w:rsid w:val="00AB40BF"/>
    <w:rsid w:val="00AB71BC"/>
    <w:rsid w:val="00AC00D6"/>
    <w:rsid w:val="00AC1436"/>
    <w:rsid w:val="00AC5630"/>
    <w:rsid w:val="00AD62CE"/>
    <w:rsid w:val="00AD75D3"/>
    <w:rsid w:val="00AD778B"/>
    <w:rsid w:val="00AD7A4B"/>
    <w:rsid w:val="00AD7A5D"/>
    <w:rsid w:val="00AE17FE"/>
    <w:rsid w:val="00AE1FBB"/>
    <w:rsid w:val="00AE24F0"/>
    <w:rsid w:val="00AE2CE0"/>
    <w:rsid w:val="00AE3E6D"/>
    <w:rsid w:val="00AE654C"/>
    <w:rsid w:val="00AE7C62"/>
    <w:rsid w:val="00AF3754"/>
    <w:rsid w:val="00AF3E05"/>
    <w:rsid w:val="00AF4C9B"/>
    <w:rsid w:val="00AF5346"/>
    <w:rsid w:val="00AF7EF8"/>
    <w:rsid w:val="00B028A5"/>
    <w:rsid w:val="00B03CBD"/>
    <w:rsid w:val="00B03EBC"/>
    <w:rsid w:val="00B1288B"/>
    <w:rsid w:val="00B13797"/>
    <w:rsid w:val="00B16153"/>
    <w:rsid w:val="00B164F4"/>
    <w:rsid w:val="00B16DE2"/>
    <w:rsid w:val="00B23BE0"/>
    <w:rsid w:val="00B24264"/>
    <w:rsid w:val="00B3379C"/>
    <w:rsid w:val="00B34427"/>
    <w:rsid w:val="00B4014B"/>
    <w:rsid w:val="00B40BFF"/>
    <w:rsid w:val="00B416FC"/>
    <w:rsid w:val="00B418F4"/>
    <w:rsid w:val="00B468FB"/>
    <w:rsid w:val="00B52D8B"/>
    <w:rsid w:val="00B54983"/>
    <w:rsid w:val="00B5763D"/>
    <w:rsid w:val="00B57C9F"/>
    <w:rsid w:val="00B57FFD"/>
    <w:rsid w:val="00B60D2C"/>
    <w:rsid w:val="00B61134"/>
    <w:rsid w:val="00B6588F"/>
    <w:rsid w:val="00B673FC"/>
    <w:rsid w:val="00B677DD"/>
    <w:rsid w:val="00B70530"/>
    <w:rsid w:val="00B71BEA"/>
    <w:rsid w:val="00B75849"/>
    <w:rsid w:val="00B77646"/>
    <w:rsid w:val="00B77A0E"/>
    <w:rsid w:val="00B80DAA"/>
    <w:rsid w:val="00B81EDB"/>
    <w:rsid w:val="00B81FFF"/>
    <w:rsid w:val="00B834A2"/>
    <w:rsid w:val="00B83CBE"/>
    <w:rsid w:val="00B90F2E"/>
    <w:rsid w:val="00B944CF"/>
    <w:rsid w:val="00B9509F"/>
    <w:rsid w:val="00B960CF"/>
    <w:rsid w:val="00B9770D"/>
    <w:rsid w:val="00BA1FBD"/>
    <w:rsid w:val="00BA670C"/>
    <w:rsid w:val="00BA6A67"/>
    <w:rsid w:val="00BB0673"/>
    <w:rsid w:val="00BB24DD"/>
    <w:rsid w:val="00BB32BD"/>
    <w:rsid w:val="00BB513E"/>
    <w:rsid w:val="00BB5DB4"/>
    <w:rsid w:val="00BB77C7"/>
    <w:rsid w:val="00BC0E0C"/>
    <w:rsid w:val="00BC1324"/>
    <w:rsid w:val="00BC1CE7"/>
    <w:rsid w:val="00BC2543"/>
    <w:rsid w:val="00BC4445"/>
    <w:rsid w:val="00BC6AAF"/>
    <w:rsid w:val="00BD0555"/>
    <w:rsid w:val="00BD10A8"/>
    <w:rsid w:val="00BD3F58"/>
    <w:rsid w:val="00BE0A84"/>
    <w:rsid w:val="00BF0979"/>
    <w:rsid w:val="00C04B59"/>
    <w:rsid w:val="00C06144"/>
    <w:rsid w:val="00C062B2"/>
    <w:rsid w:val="00C066C1"/>
    <w:rsid w:val="00C105EB"/>
    <w:rsid w:val="00C1127A"/>
    <w:rsid w:val="00C11E60"/>
    <w:rsid w:val="00C14187"/>
    <w:rsid w:val="00C162BA"/>
    <w:rsid w:val="00C17D38"/>
    <w:rsid w:val="00C202FB"/>
    <w:rsid w:val="00C20855"/>
    <w:rsid w:val="00C212A2"/>
    <w:rsid w:val="00C24196"/>
    <w:rsid w:val="00C25967"/>
    <w:rsid w:val="00C30132"/>
    <w:rsid w:val="00C30548"/>
    <w:rsid w:val="00C30AAD"/>
    <w:rsid w:val="00C41549"/>
    <w:rsid w:val="00C42124"/>
    <w:rsid w:val="00C43C61"/>
    <w:rsid w:val="00C475CA"/>
    <w:rsid w:val="00C5236E"/>
    <w:rsid w:val="00C52B31"/>
    <w:rsid w:val="00C52B9C"/>
    <w:rsid w:val="00C55A3C"/>
    <w:rsid w:val="00C56BBA"/>
    <w:rsid w:val="00C57A96"/>
    <w:rsid w:val="00C6054D"/>
    <w:rsid w:val="00C65201"/>
    <w:rsid w:val="00C65CB5"/>
    <w:rsid w:val="00C6659A"/>
    <w:rsid w:val="00C67EC2"/>
    <w:rsid w:val="00C7089C"/>
    <w:rsid w:val="00C71B0E"/>
    <w:rsid w:val="00C738B6"/>
    <w:rsid w:val="00C75632"/>
    <w:rsid w:val="00C75B4C"/>
    <w:rsid w:val="00C772A6"/>
    <w:rsid w:val="00C8079A"/>
    <w:rsid w:val="00C81821"/>
    <w:rsid w:val="00C82E90"/>
    <w:rsid w:val="00C84B43"/>
    <w:rsid w:val="00C963FD"/>
    <w:rsid w:val="00C97060"/>
    <w:rsid w:val="00CA2C5A"/>
    <w:rsid w:val="00CA3186"/>
    <w:rsid w:val="00CA4E96"/>
    <w:rsid w:val="00CA57FE"/>
    <w:rsid w:val="00CA65BF"/>
    <w:rsid w:val="00CB0965"/>
    <w:rsid w:val="00CB221D"/>
    <w:rsid w:val="00CB2FF7"/>
    <w:rsid w:val="00CB6C45"/>
    <w:rsid w:val="00CB779D"/>
    <w:rsid w:val="00CB7ED0"/>
    <w:rsid w:val="00CC09C8"/>
    <w:rsid w:val="00CC0B33"/>
    <w:rsid w:val="00CC1BDC"/>
    <w:rsid w:val="00CC2DE7"/>
    <w:rsid w:val="00CC3167"/>
    <w:rsid w:val="00CC4188"/>
    <w:rsid w:val="00CC43BC"/>
    <w:rsid w:val="00CC6BE7"/>
    <w:rsid w:val="00CC7B86"/>
    <w:rsid w:val="00CD1D33"/>
    <w:rsid w:val="00CD2581"/>
    <w:rsid w:val="00CD4CCD"/>
    <w:rsid w:val="00CD5235"/>
    <w:rsid w:val="00CD710E"/>
    <w:rsid w:val="00CE0816"/>
    <w:rsid w:val="00CE4095"/>
    <w:rsid w:val="00CE5069"/>
    <w:rsid w:val="00CE7771"/>
    <w:rsid w:val="00CF10AC"/>
    <w:rsid w:val="00CF1B1B"/>
    <w:rsid w:val="00CF1BFA"/>
    <w:rsid w:val="00CF4381"/>
    <w:rsid w:val="00CF501C"/>
    <w:rsid w:val="00CF594F"/>
    <w:rsid w:val="00CF6260"/>
    <w:rsid w:val="00D00245"/>
    <w:rsid w:val="00D00E8E"/>
    <w:rsid w:val="00D01248"/>
    <w:rsid w:val="00D03DE1"/>
    <w:rsid w:val="00D0688A"/>
    <w:rsid w:val="00D06D37"/>
    <w:rsid w:val="00D10EFB"/>
    <w:rsid w:val="00D11C73"/>
    <w:rsid w:val="00D12E25"/>
    <w:rsid w:val="00D14244"/>
    <w:rsid w:val="00D2056C"/>
    <w:rsid w:val="00D22491"/>
    <w:rsid w:val="00D2298E"/>
    <w:rsid w:val="00D248E0"/>
    <w:rsid w:val="00D258EC"/>
    <w:rsid w:val="00D2647D"/>
    <w:rsid w:val="00D26E2A"/>
    <w:rsid w:val="00D31384"/>
    <w:rsid w:val="00D32975"/>
    <w:rsid w:val="00D339A9"/>
    <w:rsid w:val="00D37E8E"/>
    <w:rsid w:val="00D40244"/>
    <w:rsid w:val="00D40946"/>
    <w:rsid w:val="00D42FDE"/>
    <w:rsid w:val="00D43F33"/>
    <w:rsid w:val="00D515DB"/>
    <w:rsid w:val="00D52578"/>
    <w:rsid w:val="00D54FC6"/>
    <w:rsid w:val="00D55F42"/>
    <w:rsid w:val="00D60A9C"/>
    <w:rsid w:val="00D624BA"/>
    <w:rsid w:val="00D64C4C"/>
    <w:rsid w:val="00D66C38"/>
    <w:rsid w:val="00D66FCB"/>
    <w:rsid w:val="00D75F53"/>
    <w:rsid w:val="00D80155"/>
    <w:rsid w:val="00D80904"/>
    <w:rsid w:val="00D902A4"/>
    <w:rsid w:val="00D9258C"/>
    <w:rsid w:val="00D92F42"/>
    <w:rsid w:val="00D948F4"/>
    <w:rsid w:val="00D9580A"/>
    <w:rsid w:val="00D970A5"/>
    <w:rsid w:val="00D9758C"/>
    <w:rsid w:val="00DA0593"/>
    <w:rsid w:val="00DA2A91"/>
    <w:rsid w:val="00DA2D65"/>
    <w:rsid w:val="00DA4026"/>
    <w:rsid w:val="00DA5745"/>
    <w:rsid w:val="00DA5FEC"/>
    <w:rsid w:val="00DA6F5D"/>
    <w:rsid w:val="00DB1E65"/>
    <w:rsid w:val="00DB2827"/>
    <w:rsid w:val="00DB6BA5"/>
    <w:rsid w:val="00DC2BE3"/>
    <w:rsid w:val="00DC2CF0"/>
    <w:rsid w:val="00DC392B"/>
    <w:rsid w:val="00DC480A"/>
    <w:rsid w:val="00DC4D85"/>
    <w:rsid w:val="00DD2C4E"/>
    <w:rsid w:val="00DD5517"/>
    <w:rsid w:val="00DD6879"/>
    <w:rsid w:val="00DD790C"/>
    <w:rsid w:val="00DE26F8"/>
    <w:rsid w:val="00DE2889"/>
    <w:rsid w:val="00DE369C"/>
    <w:rsid w:val="00DE4DF0"/>
    <w:rsid w:val="00DE54C0"/>
    <w:rsid w:val="00DE5500"/>
    <w:rsid w:val="00DE58D0"/>
    <w:rsid w:val="00DE71C5"/>
    <w:rsid w:val="00DE75A9"/>
    <w:rsid w:val="00DF18AB"/>
    <w:rsid w:val="00DF2C8E"/>
    <w:rsid w:val="00DF56C9"/>
    <w:rsid w:val="00DF7F7A"/>
    <w:rsid w:val="00E00836"/>
    <w:rsid w:val="00E01CDC"/>
    <w:rsid w:val="00E025AD"/>
    <w:rsid w:val="00E025B9"/>
    <w:rsid w:val="00E044B0"/>
    <w:rsid w:val="00E10690"/>
    <w:rsid w:val="00E11B67"/>
    <w:rsid w:val="00E15A69"/>
    <w:rsid w:val="00E15E34"/>
    <w:rsid w:val="00E20AA4"/>
    <w:rsid w:val="00E20C81"/>
    <w:rsid w:val="00E2287A"/>
    <w:rsid w:val="00E23F20"/>
    <w:rsid w:val="00E24D7F"/>
    <w:rsid w:val="00E24EB7"/>
    <w:rsid w:val="00E30682"/>
    <w:rsid w:val="00E30A95"/>
    <w:rsid w:val="00E314F1"/>
    <w:rsid w:val="00E320D4"/>
    <w:rsid w:val="00E32282"/>
    <w:rsid w:val="00E32382"/>
    <w:rsid w:val="00E32805"/>
    <w:rsid w:val="00E352BD"/>
    <w:rsid w:val="00E3556B"/>
    <w:rsid w:val="00E35E3E"/>
    <w:rsid w:val="00E3665A"/>
    <w:rsid w:val="00E377D6"/>
    <w:rsid w:val="00E41F32"/>
    <w:rsid w:val="00E421EA"/>
    <w:rsid w:val="00E457F0"/>
    <w:rsid w:val="00E464E5"/>
    <w:rsid w:val="00E4712D"/>
    <w:rsid w:val="00E47896"/>
    <w:rsid w:val="00E51C1E"/>
    <w:rsid w:val="00E52559"/>
    <w:rsid w:val="00E54F91"/>
    <w:rsid w:val="00E55FF2"/>
    <w:rsid w:val="00E569E3"/>
    <w:rsid w:val="00E57259"/>
    <w:rsid w:val="00E57F30"/>
    <w:rsid w:val="00E57F42"/>
    <w:rsid w:val="00E61450"/>
    <w:rsid w:val="00E62291"/>
    <w:rsid w:val="00E632E8"/>
    <w:rsid w:val="00E6337D"/>
    <w:rsid w:val="00E67BA5"/>
    <w:rsid w:val="00E70410"/>
    <w:rsid w:val="00E713AB"/>
    <w:rsid w:val="00E73BB1"/>
    <w:rsid w:val="00E746F4"/>
    <w:rsid w:val="00E75F64"/>
    <w:rsid w:val="00E76B27"/>
    <w:rsid w:val="00E81C67"/>
    <w:rsid w:val="00E861CA"/>
    <w:rsid w:val="00E8624D"/>
    <w:rsid w:val="00E8651C"/>
    <w:rsid w:val="00E87290"/>
    <w:rsid w:val="00E93675"/>
    <w:rsid w:val="00E96918"/>
    <w:rsid w:val="00E96F1A"/>
    <w:rsid w:val="00E96F92"/>
    <w:rsid w:val="00EA5E13"/>
    <w:rsid w:val="00EA5E82"/>
    <w:rsid w:val="00EA65E9"/>
    <w:rsid w:val="00EA6B9E"/>
    <w:rsid w:val="00EB009D"/>
    <w:rsid w:val="00EB02A5"/>
    <w:rsid w:val="00EB0B90"/>
    <w:rsid w:val="00EB1A23"/>
    <w:rsid w:val="00EB36FE"/>
    <w:rsid w:val="00EB3BD0"/>
    <w:rsid w:val="00EB5CE4"/>
    <w:rsid w:val="00EB7AB6"/>
    <w:rsid w:val="00EC0885"/>
    <w:rsid w:val="00EC1D8B"/>
    <w:rsid w:val="00EC2C86"/>
    <w:rsid w:val="00EC31B7"/>
    <w:rsid w:val="00EC4FAB"/>
    <w:rsid w:val="00EC5051"/>
    <w:rsid w:val="00EC5422"/>
    <w:rsid w:val="00EC645D"/>
    <w:rsid w:val="00ED1AA3"/>
    <w:rsid w:val="00ED27FC"/>
    <w:rsid w:val="00ED2FEF"/>
    <w:rsid w:val="00ED31E0"/>
    <w:rsid w:val="00ED3C01"/>
    <w:rsid w:val="00ED4640"/>
    <w:rsid w:val="00ED5831"/>
    <w:rsid w:val="00EE32C1"/>
    <w:rsid w:val="00EE35CF"/>
    <w:rsid w:val="00EE4C0C"/>
    <w:rsid w:val="00EE4D0A"/>
    <w:rsid w:val="00EF13A7"/>
    <w:rsid w:val="00EF34FA"/>
    <w:rsid w:val="00EF5915"/>
    <w:rsid w:val="00EF592B"/>
    <w:rsid w:val="00EF5B3C"/>
    <w:rsid w:val="00F001F9"/>
    <w:rsid w:val="00F005E9"/>
    <w:rsid w:val="00F00A8F"/>
    <w:rsid w:val="00F01DAE"/>
    <w:rsid w:val="00F02A89"/>
    <w:rsid w:val="00F03315"/>
    <w:rsid w:val="00F06294"/>
    <w:rsid w:val="00F1150D"/>
    <w:rsid w:val="00F11EE3"/>
    <w:rsid w:val="00F126EF"/>
    <w:rsid w:val="00F127C3"/>
    <w:rsid w:val="00F12C52"/>
    <w:rsid w:val="00F1486D"/>
    <w:rsid w:val="00F14A04"/>
    <w:rsid w:val="00F16EF7"/>
    <w:rsid w:val="00F204F8"/>
    <w:rsid w:val="00F20A1C"/>
    <w:rsid w:val="00F2452A"/>
    <w:rsid w:val="00F24F50"/>
    <w:rsid w:val="00F27414"/>
    <w:rsid w:val="00F30C19"/>
    <w:rsid w:val="00F32370"/>
    <w:rsid w:val="00F33D5C"/>
    <w:rsid w:val="00F34EF2"/>
    <w:rsid w:val="00F36AD7"/>
    <w:rsid w:val="00F40257"/>
    <w:rsid w:val="00F4293F"/>
    <w:rsid w:val="00F4359D"/>
    <w:rsid w:val="00F44934"/>
    <w:rsid w:val="00F453A2"/>
    <w:rsid w:val="00F45A92"/>
    <w:rsid w:val="00F46422"/>
    <w:rsid w:val="00F53BAF"/>
    <w:rsid w:val="00F5455A"/>
    <w:rsid w:val="00F5508B"/>
    <w:rsid w:val="00F5665A"/>
    <w:rsid w:val="00F600BA"/>
    <w:rsid w:val="00F61493"/>
    <w:rsid w:val="00F66D61"/>
    <w:rsid w:val="00F66F20"/>
    <w:rsid w:val="00F67ABE"/>
    <w:rsid w:val="00F7012D"/>
    <w:rsid w:val="00F711E9"/>
    <w:rsid w:val="00F716F6"/>
    <w:rsid w:val="00F72C10"/>
    <w:rsid w:val="00F740F1"/>
    <w:rsid w:val="00F76FF5"/>
    <w:rsid w:val="00F800C4"/>
    <w:rsid w:val="00F804DD"/>
    <w:rsid w:val="00F80F93"/>
    <w:rsid w:val="00F840EF"/>
    <w:rsid w:val="00F871B0"/>
    <w:rsid w:val="00F871B2"/>
    <w:rsid w:val="00F92D78"/>
    <w:rsid w:val="00F94003"/>
    <w:rsid w:val="00F941D9"/>
    <w:rsid w:val="00F94684"/>
    <w:rsid w:val="00F94A48"/>
    <w:rsid w:val="00F95B29"/>
    <w:rsid w:val="00FA00F1"/>
    <w:rsid w:val="00FA4330"/>
    <w:rsid w:val="00FA5582"/>
    <w:rsid w:val="00FA5807"/>
    <w:rsid w:val="00FB2E94"/>
    <w:rsid w:val="00FB3CDE"/>
    <w:rsid w:val="00FB40B6"/>
    <w:rsid w:val="00FB7877"/>
    <w:rsid w:val="00FB7BA6"/>
    <w:rsid w:val="00FB7F65"/>
    <w:rsid w:val="00FC042C"/>
    <w:rsid w:val="00FC2622"/>
    <w:rsid w:val="00FC290E"/>
    <w:rsid w:val="00FC4D5A"/>
    <w:rsid w:val="00FC523D"/>
    <w:rsid w:val="00FD022C"/>
    <w:rsid w:val="00FD0C12"/>
    <w:rsid w:val="00FD2FBE"/>
    <w:rsid w:val="00FD4692"/>
    <w:rsid w:val="00FD5500"/>
    <w:rsid w:val="00FD7B53"/>
    <w:rsid w:val="00FD7EC8"/>
    <w:rsid w:val="00FE54C5"/>
    <w:rsid w:val="00FF090E"/>
    <w:rsid w:val="00FF263B"/>
    <w:rsid w:val="00FF36B0"/>
    <w:rsid w:val="00FF3E57"/>
    <w:rsid w:val="00F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C9F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5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5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56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56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C6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43C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C6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43C61"/>
    <w:pPr>
      <w:outlineLvl w:val="9"/>
    </w:pPr>
    <w:rPr>
      <w:lang w:eastAsia="ja-JP"/>
    </w:rPr>
  </w:style>
  <w:style w:type="paragraph" w:styleId="TOC1">
    <w:name w:val="toc 1"/>
    <w:basedOn w:val="Normal"/>
    <w:next w:val="Normal"/>
    <w:autoRedefine/>
    <w:uiPriority w:val="39"/>
    <w:unhideWhenUsed/>
    <w:rsid w:val="00C43C61"/>
    <w:pPr>
      <w:spacing w:after="100"/>
    </w:pPr>
  </w:style>
  <w:style w:type="character" w:styleId="Hyperlink">
    <w:name w:val="Hyperlink"/>
    <w:basedOn w:val="DefaultParagraphFont"/>
    <w:uiPriority w:val="99"/>
    <w:unhideWhenUsed/>
    <w:rsid w:val="00C43C61"/>
    <w:rPr>
      <w:color w:val="0000FF" w:themeColor="hyperlink"/>
      <w:u w:val="single"/>
    </w:rPr>
  </w:style>
  <w:style w:type="paragraph" w:styleId="BalloonText">
    <w:name w:val="Balloon Text"/>
    <w:basedOn w:val="Normal"/>
    <w:link w:val="BalloonTextChar"/>
    <w:uiPriority w:val="99"/>
    <w:semiHidden/>
    <w:unhideWhenUsed/>
    <w:rsid w:val="00C4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61"/>
    <w:rPr>
      <w:rFonts w:ascii="Tahoma" w:hAnsi="Tahoma" w:cs="Tahoma"/>
      <w:sz w:val="16"/>
      <w:szCs w:val="16"/>
    </w:rPr>
  </w:style>
  <w:style w:type="paragraph" w:styleId="ListParagraph">
    <w:name w:val="List Paragraph"/>
    <w:aliases w:val="Resume Title,Citation List,Ha,List Paragraph1,Body,List Paragraph_Table bullets,Lettre d'introduction,Paragrafo elenco,heading 4,body 2,List Paragraph11,AFW Body,lp1,Heading x1,1st level - Bullet List Paragraph,Lista 1,lp11,References,L,3"/>
    <w:basedOn w:val="Normal"/>
    <w:link w:val="ListParagraphChar"/>
    <w:uiPriority w:val="34"/>
    <w:qFormat/>
    <w:rsid w:val="001D69CD"/>
    <w:pPr>
      <w:ind w:left="720"/>
      <w:contextualSpacing/>
    </w:pPr>
  </w:style>
  <w:style w:type="paragraph" w:styleId="Subtitle">
    <w:name w:val="Subtitle"/>
    <w:basedOn w:val="Normal"/>
    <w:next w:val="Normal"/>
    <w:link w:val="SubtitleChar"/>
    <w:uiPriority w:val="11"/>
    <w:qFormat/>
    <w:rsid w:val="006533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33F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20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56C"/>
  </w:style>
  <w:style w:type="paragraph" w:styleId="Footer">
    <w:name w:val="footer"/>
    <w:basedOn w:val="Normal"/>
    <w:link w:val="FooterChar"/>
    <w:uiPriority w:val="99"/>
    <w:unhideWhenUsed/>
    <w:rsid w:val="00D20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56C"/>
  </w:style>
  <w:style w:type="paragraph" w:styleId="NoSpacing">
    <w:name w:val="No Spacing"/>
    <w:link w:val="NoSpacingChar"/>
    <w:uiPriority w:val="1"/>
    <w:qFormat/>
    <w:rsid w:val="00D205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056C"/>
    <w:rPr>
      <w:rFonts w:eastAsiaTheme="minorEastAsia"/>
      <w:lang w:eastAsia="ja-JP"/>
    </w:rPr>
  </w:style>
  <w:style w:type="character" w:customStyle="1" w:styleId="Heading3Char">
    <w:name w:val="Heading 3 Char"/>
    <w:basedOn w:val="DefaultParagraphFont"/>
    <w:link w:val="Heading3"/>
    <w:uiPriority w:val="9"/>
    <w:rsid w:val="00D2056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205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9825F4"/>
    <w:pPr>
      <w:spacing w:after="120" w:line="240" w:lineRule="auto"/>
      <w:jc w:val="both"/>
    </w:pPr>
    <w:rPr>
      <w:rFonts w:ascii="Calibri" w:eastAsia="Calibri" w:hAnsi="Calibri" w:cs="Times New Roman"/>
      <w:sz w:val="20"/>
      <w:szCs w:val="24"/>
      <w:lang w:val="ro-RO"/>
    </w:rPr>
  </w:style>
  <w:style w:type="character" w:customStyle="1" w:styleId="BodyTextChar">
    <w:name w:val="Body Text Char"/>
    <w:basedOn w:val="DefaultParagraphFont"/>
    <w:link w:val="BodyText"/>
    <w:uiPriority w:val="99"/>
    <w:rsid w:val="009825F4"/>
    <w:rPr>
      <w:rFonts w:ascii="Calibri" w:eastAsia="Calibri" w:hAnsi="Calibri" w:cs="Times New Roman"/>
      <w:sz w:val="20"/>
      <w:szCs w:val="24"/>
      <w:lang w:val="ro-RO"/>
    </w:rPr>
  </w:style>
  <w:style w:type="paragraph" w:styleId="TOC2">
    <w:name w:val="toc 2"/>
    <w:basedOn w:val="Normal"/>
    <w:next w:val="Normal"/>
    <w:autoRedefine/>
    <w:uiPriority w:val="39"/>
    <w:unhideWhenUsed/>
    <w:rsid w:val="001143AF"/>
    <w:pPr>
      <w:spacing w:after="100"/>
      <w:ind w:left="220"/>
    </w:pPr>
  </w:style>
  <w:style w:type="paragraph" w:styleId="TOC3">
    <w:name w:val="toc 3"/>
    <w:basedOn w:val="Normal"/>
    <w:next w:val="Normal"/>
    <w:autoRedefine/>
    <w:uiPriority w:val="39"/>
    <w:unhideWhenUsed/>
    <w:rsid w:val="001143AF"/>
    <w:pPr>
      <w:spacing w:after="100"/>
      <w:ind w:left="440"/>
    </w:pPr>
  </w:style>
  <w:style w:type="table" w:styleId="TableGrid">
    <w:name w:val="Table Grid"/>
    <w:basedOn w:val="TableNormal"/>
    <w:uiPriority w:val="59"/>
    <w:rsid w:val="00B834A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1245"/>
    <w:rPr>
      <w:sz w:val="16"/>
      <w:szCs w:val="16"/>
    </w:rPr>
  </w:style>
  <w:style w:type="paragraph" w:styleId="CommentText">
    <w:name w:val="annotation text"/>
    <w:basedOn w:val="Normal"/>
    <w:link w:val="CommentTextChar"/>
    <w:uiPriority w:val="99"/>
    <w:unhideWhenUsed/>
    <w:rsid w:val="00591245"/>
    <w:pPr>
      <w:spacing w:after="120" w:line="240" w:lineRule="auto"/>
      <w:jc w:val="both"/>
    </w:pPr>
    <w:rPr>
      <w:sz w:val="24"/>
      <w:szCs w:val="24"/>
      <w:lang w:val="ro-RO"/>
    </w:rPr>
  </w:style>
  <w:style w:type="character" w:customStyle="1" w:styleId="CommentTextChar">
    <w:name w:val="Comment Text Char"/>
    <w:basedOn w:val="DefaultParagraphFont"/>
    <w:link w:val="CommentText"/>
    <w:uiPriority w:val="99"/>
    <w:rsid w:val="00591245"/>
    <w:rPr>
      <w:sz w:val="24"/>
      <w:szCs w:val="24"/>
      <w:lang w:val="ro-RO"/>
    </w:rPr>
  </w:style>
  <w:style w:type="paragraph" w:styleId="NormalWeb">
    <w:name w:val="Normal (Web)"/>
    <w:basedOn w:val="Normal"/>
    <w:uiPriority w:val="99"/>
    <w:semiHidden/>
    <w:unhideWhenUsed/>
    <w:rsid w:val="00EF34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77D4"/>
    <w:rPr>
      <w:b/>
      <w:bCs/>
    </w:rPr>
  </w:style>
  <w:style w:type="character" w:customStyle="1" w:styleId="element-invisible">
    <w:name w:val="element-invisible"/>
    <w:basedOn w:val="DefaultParagraphFont"/>
    <w:rsid w:val="008777D4"/>
  </w:style>
  <w:style w:type="character" w:styleId="Emphasis">
    <w:name w:val="Emphasis"/>
    <w:basedOn w:val="DefaultParagraphFont"/>
    <w:uiPriority w:val="20"/>
    <w:qFormat/>
    <w:rsid w:val="00006C18"/>
    <w:rPr>
      <w:i/>
      <w:iCs/>
    </w:rPr>
  </w:style>
  <w:style w:type="paragraph" w:styleId="CommentSubject">
    <w:name w:val="annotation subject"/>
    <w:basedOn w:val="CommentText"/>
    <w:next w:val="CommentText"/>
    <w:link w:val="CommentSubjectChar"/>
    <w:uiPriority w:val="99"/>
    <w:semiHidden/>
    <w:unhideWhenUsed/>
    <w:rsid w:val="00253EC2"/>
    <w:pPr>
      <w:spacing w:after="200"/>
      <w:jc w:val="left"/>
    </w:pPr>
    <w:rPr>
      <w:b/>
      <w:bCs/>
      <w:sz w:val="20"/>
      <w:szCs w:val="20"/>
      <w:lang w:val="en-US"/>
    </w:rPr>
  </w:style>
  <w:style w:type="character" w:customStyle="1" w:styleId="CommentSubjectChar">
    <w:name w:val="Comment Subject Char"/>
    <w:basedOn w:val="CommentTextChar"/>
    <w:link w:val="CommentSubject"/>
    <w:uiPriority w:val="99"/>
    <w:semiHidden/>
    <w:rsid w:val="00253EC2"/>
    <w:rPr>
      <w:b/>
      <w:bCs/>
      <w:sz w:val="20"/>
      <w:szCs w:val="20"/>
      <w:lang w:val="ro-RO"/>
    </w:rPr>
  </w:style>
  <w:style w:type="paragraph" w:styleId="Caption">
    <w:name w:val="caption"/>
    <w:basedOn w:val="Normal"/>
    <w:next w:val="Normal"/>
    <w:unhideWhenUsed/>
    <w:qFormat/>
    <w:rsid w:val="002D6EF4"/>
    <w:pPr>
      <w:spacing w:line="240" w:lineRule="auto"/>
    </w:pPr>
    <w:rPr>
      <w:i/>
      <w:iCs/>
      <w:color w:val="1F497D" w:themeColor="text2"/>
      <w:sz w:val="18"/>
      <w:szCs w:val="18"/>
    </w:rPr>
  </w:style>
  <w:style w:type="paragraph" w:styleId="FootnoteText">
    <w:name w:val="footnote text"/>
    <w:aliases w:val="Podrozdział,Footnote Text Char Char,Fußnote,Fußnotentextf,stile 1,Footnote,Footnote1,Footnote2,Footnote3,Footnote4,Footnote5,Footnote6,Footnote7,Footnote8,Footnote9,Footnote10,Footnote11,Footnote21,Footnote31,Footnote41,fn"/>
    <w:basedOn w:val="Normal"/>
    <w:link w:val="FootnoteTextChar"/>
    <w:uiPriority w:val="99"/>
    <w:qFormat/>
    <w:rsid w:val="000B627C"/>
    <w:pPr>
      <w:spacing w:after="0" w:line="240" w:lineRule="auto"/>
    </w:pPr>
    <w:rPr>
      <w:sz w:val="16"/>
      <w:szCs w:val="20"/>
    </w:rPr>
  </w:style>
  <w:style w:type="character" w:customStyle="1" w:styleId="FootnoteTextChar">
    <w:name w:val="Footnote Text Char"/>
    <w:aliases w:val="Podrozdział Char,Footnote Text Char Char Char,Fußnote Char,Fußnotentextf Char,stile 1 Char,Footnote Char,Footnote1 Char,Footnote2 Char,Footnote3 Char,Footnote4 Char,Footnote5 Char,Footnote6 Char,Footnote7 Char,Footnote8 Char,fn Char"/>
    <w:basedOn w:val="DefaultParagraphFont"/>
    <w:link w:val="FootnoteText"/>
    <w:uiPriority w:val="99"/>
    <w:qFormat/>
    <w:rsid w:val="000B627C"/>
    <w:rPr>
      <w:sz w:val="16"/>
      <w:szCs w:val="20"/>
    </w:rPr>
  </w:style>
  <w:style w:type="character" w:styleId="FootnoteReference">
    <w:name w:val="footnote reference"/>
    <w:aliases w:val=" BVI fnr,BVI fnr,Footnote symbol,Footnote call,SUPERS,-E Fußnotenzeichen,Times 10 Point,Exposant 3 Point,number,Footnote reference number,note TESI,EN Footnote Reference,Footnote Reference/,Footnote Reference Number"/>
    <w:basedOn w:val="DefaultParagraphFont"/>
    <w:uiPriority w:val="99"/>
    <w:rsid w:val="000B627C"/>
    <w:rPr>
      <w:vertAlign w:val="superscript"/>
    </w:rPr>
  </w:style>
  <w:style w:type="character" w:customStyle="1" w:styleId="ListParagraphChar">
    <w:name w:val="List Paragraph Char"/>
    <w:aliases w:val="Resume Title Char,Citation List Char,Ha Char,List Paragraph1 Char,Body Char,List Paragraph_Table bullets Char,Lettre d'introduction Char,Paragrafo elenco Char,heading 4 Char,body 2 Char,List Paragraph11 Char,AFW Body Char,lp1 Char"/>
    <w:basedOn w:val="DefaultParagraphFont"/>
    <w:link w:val="ListParagraph"/>
    <w:uiPriority w:val="34"/>
    <w:qFormat/>
    <w:rsid w:val="008D56B8"/>
  </w:style>
  <w:style w:type="character" w:customStyle="1" w:styleId="Heading4Char">
    <w:name w:val="Heading 4 Char"/>
    <w:basedOn w:val="DefaultParagraphFont"/>
    <w:link w:val="Heading4"/>
    <w:uiPriority w:val="9"/>
    <w:semiHidden/>
    <w:rsid w:val="008D56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56B8"/>
    <w:rPr>
      <w:rFonts w:asciiTheme="majorHAnsi" w:eastAsiaTheme="majorEastAsia" w:hAnsiTheme="majorHAnsi" w:cstheme="majorBidi"/>
      <w:color w:val="243F60" w:themeColor="accent1" w:themeShade="7F"/>
    </w:rPr>
  </w:style>
  <w:style w:type="table" w:customStyle="1" w:styleId="GridTable2-Accent11">
    <w:name w:val="Grid Table 2 - Accent 11"/>
    <w:basedOn w:val="TableNormal"/>
    <w:uiPriority w:val="47"/>
    <w:rsid w:val="009D6F52"/>
    <w:pPr>
      <w:spacing w:after="0" w:line="240" w:lineRule="auto"/>
    </w:pPr>
    <w:rPr>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mail-msolistparagraph">
    <w:name w:val="gmail-msolistparagraph"/>
    <w:basedOn w:val="Normal"/>
    <w:rsid w:val="00296494"/>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Default">
    <w:name w:val="Default"/>
    <w:basedOn w:val="Normal"/>
    <w:rsid w:val="00193948"/>
    <w:pPr>
      <w:autoSpaceDE w:val="0"/>
      <w:autoSpaceDN w:val="0"/>
      <w:spacing w:after="0" w:line="240" w:lineRule="auto"/>
    </w:pPr>
    <w:rPr>
      <w:rFonts w:ascii="Verdana" w:hAnsi="Verdana" w:cs="Calibri"/>
      <w:color w:val="000000"/>
      <w:sz w:val="24"/>
      <w:szCs w:val="24"/>
      <w:lang w:val="en-GB" w:eastAsia="en-GB"/>
    </w:rPr>
  </w:style>
  <w:style w:type="paragraph" w:styleId="Revision">
    <w:name w:val="Revision"/>
    <w:hidden/>
    <w:uiPriority w:val="99"/>
    <w:semiHidden/>
    <w:rsid w:val="009E5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2126">
      <w:bodyDiv w:val="1"/>
      <w:marLeft w:val="0"/>
      <w:marRight w:val="0"/>
      <w:marTop w:val="0"/>
      <w:marBottom w:val="0"/>
      <w:divBdr>
        <w:top w:val="none" w:sz="0" w:space="0" w:color="auto"/>
        <w:left w:val="none" w:sz="0" w:space="0" w:color="auto"/>
        <w:bottom w:val="none" w:sz="0" w:space="0" w:color="auto"/>
        <w:right w:val="none" w:sz="0" w:space="0" w:color="auto"/>
      </w:divBdr>
    </w:div>
    <w:div w:id="202443232">
      <w:bodyDiv w:val="1"/>
      <w:marLeft w:val="0"/>
      <w:marRight w:val="0"/>
      <w:marTop w:val="0"/>
      <w:marBottom w:val="0"/>
      <w:divBdr>
        <w:top w:val="none" w:sz="0" w:space="0" w:color="auto"/>
        <w:left w:val="none" w:sz="0" w:space="0" w:color="auto"/>
        <w:bottom w:val="none" w:sz="0" w:space="0" w:color="auto"/>
        <w:right w:val="none" w:sz="0" w:space="0" w:color="auto"/>
      </w:divBdr>
    </w:div>
    <w:div w:id="255485596">
      <w:bodyDiv w:val="1"/>
      <w:marLeft w:val="0"/>
      <w:marRight w:val="0"/>
      <w:marTop w:val="0"/>
      <w:marBottom w:val="0"/>
      <w:divBdr>
        <w:top w:val="none" w:sz="0" w:space="0" w:color="auto"/>
        <w:left w:val="none" w:sz="0" w:space="0" w:color="auto"/>
        <w:bottom w:val="none" w:sz="0" w:space="0" w:color="auto"/>
        <w:right w:val="none" w:sz="0" w:space="0" w:color="auto"/>
      </w:divBdr>
      <w:divsChild>
        <w:div w:id="1208178764">
          <w:marLeft w:val="0"/>
          <w:marRight w:val="0"/>
          <w:marTop w:val="0"/>
          <w:marBottom w:val="0"/>
          <w:divBdr>
            <w:top w:val="none" w:sz="0" w:space="0" w:color="auto"/>
            <w:left w:val="single" w:sz="6" w:space="0" w:color="D3D3D3"/>
            <w:bottom w:val="none" w:sz="0" w:space="0" w:color="auto"/>
            <w:right w:val="single" w:sz="6" w:space="0" w:color="D3D3D3"/>
          </w:divBdr>
          <w:divsChild>
            <w:div w:id="229657087">
              <w:marLeft w:val="0"/>
              <w:marRight w:val="0"/>
              <w:marTop w:val="0"/>
              <w:marBottom w:val="0"/>
              <w:divBdr>
                <w:top w:val="none" w:sz="0" w:space="0" w:color="auto"/>
                <w:left w:val="none" w:sz="0" w:space="0" w:color="auto"/>
                <w:bottom w:val="none" w:sz="0" w:space="0" w:color="auto"/>
                <w:right w:val="none" w:sz="0" w:space="0" w:color="auto"/>
              </w:divBdr>
              <w:divsChild>
                <w:div w:id="408237780">
                  <w:marLeft w:val="0"/>
                  <w:marRight w:val="0"/>
                  <w:marTop w:val="0"/>
                  <w:marBottom w:val="0"/>
                  <w:divBdr>
                    <w:top w:val="none" w:sz="0" w:space="0" w:color="auto"/>
                    <w:left w:val="none" w:sz="0" w:space="0" w:color="auto"/>
                    <w:bottom w:val="none" w:sz="0" w:space="0" w:color="auto"/>
                    <w:right w:val="none" w:sz="0" w:space="0" w:color="auto"/>
                  </w:divBdr>
                  <w:divsChild>
                    <w:div w:id="762381586">
                      <w:marLeft w:val="0"/>
                      <w:marRight w:val="0"/>
                      <w:marTop w:val="0"/>
                      <w:marBottom w:val="0"/>
                      <w:divBdr>
                        <w:top w:val="none" w:sz="0" w:space="0" w:color="auto"/>
                        <w:left w:val="none" w:sz="0" w:space="0" w:color="auto"/>
                        <w:bottom w:val="none" w:sz="0" w:space="0" w:color="auto"/>
                        <w:right w:val="none" w:sz="0" w:space="0" w:color="auto"/>
                      </w:divBdr>
                      <w:divsChild>
                        <w:div w:id="209803902">
                          <w:marLeft w:val="0"/>
                          <w:marRight w:val="0"/>
                          <w:marTop w:val="0"/>
                          <w:marBottom w:val="60"/>
                          <w:divBdr>
                            <w:top w:val="none" w:sz="0" w:space="0" w:color="auto"/>
                            <w:left w:val="single" w:sz="6" w:space="8" w:color="D3D3D3"/>
                            <w:bottom w:val="single" w:sz="12" w:space="8" w:color="FEC938"/>
                            <w:right w:val="single" w:sz="6" w:space="8" w:color="D3D3D3"/>
                          </w:divBdr>
                          <w:divsChild>
                            <w:div w:id="1884638284">
                              <w:marLeft w:val="0"/>
                              <w:marRight w:val="0"/>
                              <w:marTop w:val="0"/>
                              <w:marBottom w:val="0"/>
                              <w:divBdr>
                                <w:top w:val="none" w:sz="0" w:space="0" w:color="auto"/>
                                <w:left w:val="none" w:sz="0" w:space="0" w:color="auto"/>
                                <w:bottom w:val="single" w:sz="6" w:space="8" w:color="D3D3D3"/>
                                <w:right w:val="none" w:sz="0" w:space="0" w:color="auto"/>
                              </w:divBdr>
                            </w:div>
                          </w:divsChild>
                        </w:div>
                      </w:divsChild>
                    </w:div>
                  </w:divsChild>
                </w:div>
              </w:divsChild>
            </w:div>
          </w:divsChild>
        </w:div>
      </w:divsChild>
    </w:div>
    <w:div w:id="409698297">
      <w:bodyDiv w:val="1"/>
      <w:marLeft w:val="0"/>
      <w:marRight w:val="0"/>
      <w:marTop w:val="0"/>
      <w:marBottom w:val="0"/>
      <w:divBdr>
        <w:top w:val="none" w:sz="0" w:space="0" w:color="auto"/>
        <w:left w:val="none" w:sz="0" w:space="0" w:color="auto"/>
        <w:bottom w:val="none" w:sz="0" w:space="0" w:color="auto"/>
        <w:right w:val="none" w:sz="0" w:space="0" w:color="auto"/>
      </w:divBdr>
    </w:div>
    <w:div w:id="672873507">
      <w:bodyDiv w:val="1"/>
      <w:marLeft w:val="0"/>
      <w:marRight w:val="0"/>
      <w:marTop w:val="0"/>
      <w:marBottom w:val="0"/>
      <w:divBdr>
        <w:top w:val="none" w:sz="0" w:space="0" w:color="auto"/>
        <w:left w:val="none" w:sz="0" w:space="0" w:color="auto"/>
        <w:bottom w:val="none" w:sz="0" w:space="0" w:color="auto"/>
        <w:right w:val="none" w:sz="0" w:space="0" w:color="auto"/>
      </w:divBdr>
    </w:div>
    <w:div w:id="745154920">
      <w:bodyDiv w:val="1"/>
      <w:marLeft w:val="0"/>
      <w:marRight w:val="0"/>
      <w:marTop w:val="0"/>
      <w:marBottom w:val="0"/>
      <w:divBdr>
        <w:top w:val="none" w:sz="0" w:space="0" w:color="auto"/>
        <w:left w:val="none" w:sz="0" w:space="0" w:color="auto"/>
        <w:bottom w:val="none" w:sz="0" w:space="0" w:color="auto"/>
        <w:right w:val="none" w:sz="0" w:space="0" w:color="auto"/>
      </w:divBdr>
    </w:div>
    <w:div w:id="871576804">
      <w:bodyDiv w:val="1"/>
      <w:marLeft w:val="0"/>
      <w:marRight w:val="0"/>
      <w:marTop w:val="0"/>
      <w:marBottom w:val="0"/>
      <w:divBdr>
        <w:top w:val="none" w:sz="0" w:space="0" w:color="auto"/>
        <w:left w:val="none" w:sz="0" w:space="0" w:color="auto"/>
        <w:bottom w:val="none" w:sz="0" w:space="0" w:color="auto"/>
        <w:right w:val="none" w:sz="0" w:space="0" w:color="auto"/>
      </w:divBdr>
    </w:div>
    <w:div w:id="873931136">
      <w:bodyDiv w:val="1"/>
      <w:marLeft w:val="0"/>
      <w:marRight w:val="0"/>
      <w:marTop w:val="0"/>
      <w:marBottom w:val="0"/>
      <w:divBdr>
        <w:top w:val="none" w:sz="0" w:space="0" w:color="auto"/>
        <w:left w:val="none" w:sz="0" w:space="0" w:color="auto"/>
        <w:bottom w:val="none" w:sz="0" w:space="0" w:color="auto"/>
        <w:right w:val="none" w:sz="0" w:space="0" w:color="auto"/>
      </w:divBdr>
    </w:div>
    <w:div w:id="918443530">
      <w:bodyDiv w:val="1"/>
      <w:marLeft w:val="0"/>
      <w:marRight w:val="0"/>
      <w:marTop w:val="0"/>
      <w:marBottom w:val="0"/>
      <w:divBdr>
        <w:top w:val="none" w:sz="0" w:space="0" w:color="auto"/>
        <w:left w:val="none" w:sz="0" w:space="0" w:color="auto"/>
        <w:bottom w:val="none" w:sz="0" w:space="0" w:color="auto"/>
        <w:right w:val="none" w:sz="0" w:space="0" w:color="auto"/>
      </w:divBdr>
    </w:div>
    <w:div w:id="976449526">
      <w:bodyDiv w:val="1"/>
      <w:marLeft w:val="0"/>
      <w:marRight w:val="0"/>
      <w:marTop w:val="0"/>
      <w:marBottom w:val="0"/>
      <w:divBdr>
        <w:top w:val="none" w:sz="0" w:space="0" w:color="auto"/>
        <w:left w:val="none" w:sz="0" w:space="0" w:color="auto"/>
        <w:bottom w:val="none" w:sz="0" w:space="0" w:color="auto"/>
        <w:right w:val="none" w:sz="0" w:space="0" w:color="auto"/>
      </w:divBdr>
    </w:div>
    <w:div w:id="1044136377">
      <w:bodyDiv w:val="1"/>
      <w:marLeft w:val="0"/>
      <w:marRight w:val="0"/>
      <w:marTop w:val="0"/>
      <w:marBottom w:val="0"/>
      <w:divBdr>
        <w:top w:val="none" w:sz="0" w:space="0" w:color="auto"/>
        <w:left w:val="none" w:sz="0" w:space="0" w:color="auto"/>
        <w:bottom w:val="none" w:sz="0" w:space="0" w:color="auto"/>
        <w:right w:val="none" w:sz="0" w:space="0" w:color="auto"/>
      </w:divBdr>
    </w:div>
    <w:div w:id="1046369728">
      <w:bodyDiv w:val="1"/>
      <w:marLeft w:val="0"/>
      <w:marRight w:val="0"/>
      <w:marTop w:val="0"/>
      <w:marBottom w:val="0"/>
      <w:divBdr>
        <w:top w:val="none" w:sz="0" w:space="0" w:color="auto"/>
        <w:left w:val="none" w:sz="0" w:space="0" w:color="auto"/>
        <w:bottom w:val="none" w:sz="0" w:space="0" w:color="auto"/>
        <w:right w:val="none" w:sz="0" w:space="0" w:color="auto"/>
      </w:divBdr>
    </w:div>
    <w:div w:id="1079449665">
      <w:bodyDiv w:val="1"/>
      <w:marLeft w:val="0"/>
      <w:marRight w:val="0"/>
      <w:marTop w:val="0"/>
      <w:marBottom w:val="0"/>
      <w:divBdr>
        <w:top w:val="none" w:sz="0" w:space="0" w:color="auto"/>
        <w:left w:val="none" w:sz="0" w:space="0" w:color="auto"/>
        <w:bottom w:val="none" w:sz="0" w:space="0" w:color="auto"/>
        <w:right w:val="none" w:sz="0" w:space="0" w:color="auto"/>
      </w:divBdr>
    </w:div>
    <w:div w:id="1101485380">
      <w:bodyDiv w:val="1"/>
      <w:marLeft w:val="0"/>
      <w:marRight w:val="0"/>
      <w:marTop w:val="0"/>
      <w:marBottom w:val="0"/>
      <w:divBdr>
        <w:top w:val="none" w:sz="0" w:space="0" w:color="auto"/>
        <w:left w:val="none" w:sz="0" w:space="0" w:color="auto"/>
        <w:bottom w:val="none" w:sz="0" w:space="0" w:color="auto"/>
        <w:right w:val="none" w:sz="0" w:space="0" w:color="auto"/>
      </w:divBdr>
    </w:div>
    <w:div w:id="1149401695">
      <w:bodyDiv w:val="1"/>
      <w:marLeft w:val="0"/>
      <w:marRight w:val="0"/>
      <w:marTop w:val="0"/>
      <w:marBottom w:val="0"/>
      <w:divBdr>
        <w:top w:val="none" w:sz="0" w:space="0" w:color="auto"/>
        <w:left w:val="none" w:sz="0" w:space="0" w:color="auto"/>
        <w:bottom w:val="none" w:sz="0" w:space="0" w:color="auto"/>
        <w:right w:val="none" w:sz="0" w:space="0" w:color="auto"/>
      </w:divBdr>
    </w:div>
    <w:div w:id="1154180490">
      <w:bodyDiv w:val="1"/>
      <w:marLeft w:val="0"/>
      <w:marRight w:val="0"/>
      <w:marTop w:val="0"/>
      <w:marBottom w:val="0"/>
      <w:divBdr>
        <w:top w:val="none" w:sz="0" w:space="0" w:color="auto"/>
        <w:left w:val="none" w:sz="0" w:space="0" w:color="auto"/>
        <w:bottom w:val="none" w:sz="0" w:space="0" w:color="auto"/>
        <w:right w:val="none" w:sz="0" w:space="0" w:color="auto"/>
      </w:divBdr>
    </w:div>
    <w:div w:id="1176729813">
      <w:bodyDiv w:val="1"/>
      <w:marLeft w:val="0"/>
      <w:marRight w:val="0"/>
      <w:marTop w:val="0"/>
      <w:marBottom w:val="0"/>
      <w:divBdr>
        <w:top w:val="none" w:sz="0" w:space="0" w:color="auto"/>
        <w:left w:val="none" w:sz="0" w:space="0" w:color="auto"/>
        <w:bottom w:val="none" w:sz="0" w:space="0" w:color="auto"/>
        <w:right w:val="none" w:sz="0" w:space="0" w:color="auto"/>
      </w:divBdr>
    </w:div>
    <w:div w:id="1182626092">
      <w:bodyDiv w:val="1"/>
      <w:marLeft w:val="0"/>
      <w:marRight w:val="0"/>
      <w:marTop w:val="0"/>
      <w:marBottom w:val="0"/>
      <w:divBdr>
        <w:top w:val="none" w:sz="0" w:space="0" w:color="auto"/>
        <w:left w:val="none" w:sz="0" w:space="0" w:color="auto"/>
        <w:bottom w:val="none" w:sz="0" w:space="0" w:color="auto"/>
        <w:right w:val="none" w:sz="0" w:space="0" w:color="auto"/>
      </w:divBdr>
    </w:div>
    <w:div w:id="1275285054">
      <w:bodyDiv w:val="1"/>
      <w:marLeft w:val="0"/>
      <w:marRight w:val="0"/>
      <w:marTop w:val="0"/>
      <w:marBottom w:val="0"/>
      <w:divBdr>
        <w:top w:val="none" w:sz="0" w:space="0" w:color="auto"/>
        <w:left w:val="none" w:sz="0" w:space="0" w:color="auto"/>
        <w:bottom w:val="none" w:sz="0" w:space="0" w:color="auto"/>
        <w:right w:val="none" w:sz="0" w:space="0" w:color="auto"/>
      </w:divBdr>
    </w:div>
    <w:div w:id="1472867375">
      <w:bodyDiv w:val="1"/>
      <w:marLeft w:val="0"/>
      <w:marRight w:val="0"/>
      <w:marTop w:val="0"/>
      <w:marBottom w:val="0"/>
      <w:divBdr>
        <w:top w:val="none" w:sz="0" w:space="0" w:color="auto"/>
        <w:left w:val="none" w:sz="0" w:space="0" w:color="auto"/>
        <w:bottom w:val="none" w:sz="0" w:space="0" w:color="auto"/>
        <w:right w:val="none" w:sz="0" w:space="0" w:color="auto"/>
      </w:divBdr>
    </w:div>
    <w:div w:id="1503743364">
      <w:bodyDiv w:val="1"/>
      <w:marLeft w:val="0"/>
      <w:marRight w:val="0"/>
      <w:marTop w:val="0"/>
      <w:marBottom w:val="0"/>
      <w:divBdr>
        <w:top w:val="none" w:sz="0" w:space="0" w:color="auto"/>
        <w:left w:val="none" w:sz="0" w:space="0" w:color="auto"/>
        <w:bottom w:val="none" w:sz="0" w:space="0" w:color="auto"/>
        <w:right w:val="none" w:sz="0" w:space="0" w:color="auto"/>
      </w:divBdr>
    </w:div>
    <w:div w:id="1545825798">
      <w:bodyDiv w:val="1"/>
      <w:marLeft w:val="0"/>
      <w:marRight w:val="0"/>
      <w:marTop w:val="0"/>
      <w:marBottom w:val="0"/>
      <w:divBdr>
        <w:top w:val="none" w:sz="0" w:space="0" w:color="auto"/>
        <w:left w:val="none" w:sz="0" w:space="0" w:color="auto"/>
        <w:bottom w:val="none" w:sz="0" w:space="0" w:color="auto"/>
        <w:right w:val="none" w:sz="0" w:space="0" w:color="auto"/>
      </w:divBdr>
    </w:div>
    <w:div w:id="1571186815">
      <w:bodyDiv w:val="1"/>
      <w:marLeft w:val="0"/>
      <w:marRight w:val="0"/>
      <w:marTop w:val="0"/>
      <w:marBottom w:val="0"/>
      <w:divBdr>
        <w:top w:val="none" w:sz="0" w:space="0" w:color="auto"/>
        <w:left w:val="none" w:sz="0" w:space="0" w:color="auto"/>
        <w:bottom w:val="none" w:sz="0" w:space="0" w:color="auto"/>
        <w:right w:val="none" w:sz="0" w:space="0" w:color="auto"/>
      </w:divBdr>
    </w:div>
    <w:div w:id="1733305825">
      <w:bodyDiv w:val="1"/>
      <w:marLeft w:val="0"/>
      <w:marRight w:val="0"/>
      <w:marTop w:val="0"/>
      <w:marBottom w:val="0"/>
      <w:divBdr>
        <w:top w:val="none" w:sz="0" w:space="0" w:color="auto"/>
        <w:left w:val="none" w:sz="0" w:space="0" w:color="auto"/>
        <w:bottom w:val="none" w:sz="0" w:space="0" w:color="auto"/>
        <w:right w:val="none" w:sz="0" w:space="0" w:color="auto"/>
      </w:divBdr>
      <w:divsChild>
        <w:div w:id="294993316">
          <w:marLeft w:val="0"/>
          <w:marRight w:val="0"/>
          <w:marTop w:val="0"/>
          <w:marBottom w:val="0"/>
          <w:divBdr>
            <w:top w:val="none" w:sz="0" w:space="0" w:color="auto"/>
            <w:left w:val="none" w:sz="0" w:space="0" w:color="auto"/>
            <w:bottom w:val="none" w:sz="0" w:space="0" w:color="auto"/>
            <w:right w:val="none" w:sz="0" w:space="0" w:color="auto"/>
          </w:divBdr>
          <w:divsChild>
            <w:div w:id="913125763">
              <w:marLeft w:val="0"/>
              <w:marRight w:val="0"/>
              <w:marTop w:val="0"/>
              <w:marBottom w:val="0"/>
              <w:divBdr>
                <w:top w:val="none" w:sz="0" w:space="0" w:color="auto"/>
                <w:left w:val="none" w:sz="0" w:space="0" w:color="auto"/>
                <w:bottom w:val="none" w:sz="0" w:space="0" w:color="auto"/>
                <w:right w:val="none" w:sz="0" w:space="0" w:color="auto"/>
              </w:divBdr>
              <w:divsChild>
                <w:div w:id="1932549044">
                  <w:marLeft w:val="0"/>
                  <w:marRight w:val="0"/>
                  <w:marTop w:val="0"/>
                  <w:marBottom w:val="0"/>
                  <w:divBdr>
                    <w:top w:val="none" w:sz="0" w:space="0" w:color="auto"/>
                    <w:left w:val="none" w:sz="0" w:space="0" w:color="auto"/>
                    <w:bottom w:val="none" w:sz="0" w:space="0" w:color="auto"/>
                    <w:right w:val="none" w:sz="0" w:space="0" w:color="auto"/>
                  </w:divBdr>
                  <w:divsChild>
                    <w:div w:id="1263412486">
                      <w:marLeft w:val="0"/>
                      <w:marRight w:val="0"/>
                      <w:marTop w:val="0"/>
                      <w:marBottom w:val="0"/>
                      <w:divBdr>
                        <w:top w:val="none" w:sz="0" w:space="0" w:color="auto"/>
                        <w:left w:val="none" w:sz="0" w:space="0" w:color="auto"/>
                        <w:bottom w:val="none" w:sz="0" w:space="0" w:color="auto"/>
                        <w:right w:val="none" w:sz="0" w:space="0" w:color="auto"/>
                      </w:divBdr>
                      <w:divsChild>
                        <w:div w:id="2126459282">
                          <w:marLeft w:val="0"/>
                          <w:marRight w:val="0"/>
                          <w:marTop w:val="0"/>
                          <w:marBottom w:val="0"/>
                          <w:divBdr>
                            <w:top w:val="none" w:sz="0" w:space="0" w:color="auto"/>
                            <w:left w:val="none" w:sz="0" w:space="0" w:color="auto"/>
                            <w:bottom w:val="none" w:sz="0" w:space="0" w:color="auto"/>
                            <w:right w:val="none" w:sz="0" w:space="0" w:color="auto"/>
                          </w:divBdr>
                          <w:divsChild>
                            <w:div w:id="1300769358">
                              <w:marLeft w:val="0"/>
                              <w:marRight w:val="0"/>
                              <w:marTop w:val="0"/>
                              <w:marBottom w:val="0"/>
                              <w:divBdr>
                                <w:top w:val="none" w:sz="0" w:space="0" w:color="auto"/>
                                <w:left w:val="none" w:sz="0" w:space="0" w:color="auto"/>
                                <w:bottom w:val="none" w:sz="0" w:space="0" w:color="auto"/>
                                <w:right w:val="none" w:sz="0" w:space="0" w:color="auto"/>
                              </w:divBdr>
                              <w:divsChild>
                                <w:div w:id="897085787">
                                  <w:marLeft w:val="0"/>
                                  <w:marRight w:val="0"/>
                                  <w:marTop w:val="0"/>
                                  <w:marBottom w:val="0"/>
                                  <w:divBdr>
                                    <w:top w:val="none" w:sz="0" w:space="0" w:color="auto"/>
                                    <w:left w:val="none" w:sz="0" w:space="0" w:color="auto"/>
                                    <w:bottom w:val="none" w:sz="0" w:space="0" w:color="auto"/>
                                    <w:right w:val="none" w:sz="0" w:space="0" w:color="auto"/>
                                  </w:divBdr>
                                  <w:divsChild>
                                    <w:div w:id="1395155516">
                                      <w:marLeft w:val="0"/>
                                      <w:marRight w:val="0"/>
                                      <w:marTop w:val="0"/>
                                      <w:marBottom w:val="0"/>
                                      <w:divBdr>
                                        <w:top w:val="none" w:sz="0" w:space="0" w:color="auto"/>
                                        <w:left w:val="none" w:sz="0" w:space="0" w:color="auto"/>
                                        <w:bottom w:val="none" w:sz="0" w:space="0" w:color="auto"/>
                                        <w:right w:val="none" w:sz="0" w:space="0" w:color="auto"/>
                                      </w:divBdr>
                                      <w:divsChild>
                                        <w:div w:id="1835875678">
                                          <w:marLeft w:val="0"/>
                                          <w:marRight w:val="0"/>
                                          <w:marTop w:val="0"/>
                                          <w:marBottom w:val="0"/>
                                          <w:divBdr>
                                            <w:top w:val="none" w:sz="0" w:space="0" w:color="auto"/>
                                            <w:left w:val="none" w:sz="0" w:space="0" w:color="auto"/>
                                            <w:bottom w:val="none" w:sz="0" w:space="0" w:color="auto"/>
                                            <w:right w:val="none" w:sz="0" w:space="0" w:color="auto"/>
                                          </w:divBdr>
                                          <w:divsChild>
                                            <w:div w:id="62263196">
                                              <w:marLeft w:val="0"/>
                                              <w:marRight w:val="0"/>
                                              <w:marTop w:val="0"/>
                                              <w:marBottom w:val="495"/>
                                              <w:divBdr>
                                                <w:top w:val="none" w:sz="0" w:space="0" w:color="auto"/>
                                                <w:left w:val="none" w:sz="0" w:space="0" w:color="auto"/>
                                                <w:bottom w:val="none" w:sz="0" w:space="0" w:color="auto"/>
                                                <w:right w:val="none" w:sz="0" w:space="0" w:color="auto"/>
                                              </w:divBdr>
                                              <w:divsChild>
                                                <w:div w:id="3158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659214">
      <w:bodyDiv w:val="1"/>
      <w:marLeft w:val="0"/>
      <w:marRight w:val="0"/>
      <w:marTop w:val="0"/>
      <w:marBottom w:val="0"/>
      <w:divBdr>
        <w:top w:val="none" w:sz="0" w:space="0" w:color="auto"/>
        <w:left w:val="none" w:sz="0" w:space="0" w:color="auto"/>
        <w:bottom w:val="none" w:sz="0" w:space="0" w:color="auto"/>
        <w:right w:val="none" w:sz="0" w:space="0" w:color="auto"/>
      </w:divBdr>
    </w:div>
    <w:div w:id="1796174566">
      <w:bodyDiv w:val="1"/>
      <w:marLeft w:val="0"/>
      <w:marRight w:val="0"/>
      <w:marTop w:val="0"/>
      <w:marBottom w:val="0"/>
      <w:divBdr>
        <w:top w:val="none" w:sz="0" w:space="0" w:color="auto"/>
        <w:left w:val="none" w:sz="0" w:space="0" w:color="auto"/>
        <w:bottom w:val="none" w:sz="0" w:space="0" w:color="auto"/>
        <w:right w:val="none" w:sz="0" w:space="0" w:color="auto"/>
      </w:divBdr>
    </w:div>
    <w:div w:id="1799181341">
      <w:bodyDiv w:val="1"/>
      <w:marLeft w:val="0"/>
      <w:marRight w:val="0"/>
      <w:marTop w:val="0"/>
      <w:marBottom w:val="0"/>
      <w:divBdr>
        <w:top w:val="none" w:sz="0" w:space="0" w:color="auto"/>
        <w:left w:val="none" w:sz="0" w:space="0" w:color="auto"/>
        <w:bottom w:val="none" w:sz="0" w:space="0" w:color="auto"/>
        <w:right w:val="none" w:sz="0" w:space="0" w:color="auto"/>
      </w:divBdr>
      <w:divsChild>
        <w:div w:id="1108618369">
          <w:marLeft w:val="0"/>
          <w:marRight w:val="0"/>
          <w:marTop w:val="0"/>
          <w:marBottom w:val="0"/>
          <w:divBdr>
            <w:top w:val="none" w:sz="0" w:space="0" w:color="auto"/>
            <w:left w:val="single" w:sz="6" w:space="0" w:color="D3D3D3"/>
            <w:bottom w:val="none" w:sz="0" w:space="0" w:color="auto"/>
            <w:right w:val="single" w:sz="6" w:space="0" w:color="D3D3D3"/>
          </w:divBdr>
          <w:divsChild>
            <w:div w:id="2119911841">
              <w:marLeft w:val="0"/>
              <w:marRight w:val="0"/>
              <w:marTop w:val="0"/>
              <w:marBottom w:val="0"/>
              <w:divBdr>
                <w:top w:val="none" w:sz="0" w:space="0" w:color="auto"/>
                <w:left w:val="none" w:sz="0" w:space="0" w:color="auto"/>
                <w:bottom w:val="none" w:sz="0" w:space="0" w:color="auto"/>
                <w:right w:val="none" w:sz="0" w:space="0" w:color="auto"/>
              </w:divBdr>
              <w:divsChild>
                <w:div w:id="2074812865">
                  <w:marLeft w:val="0"/>
                  <w:marRight w:val="0"/>
                  <w:marTop w:val="0"/>
                  <w:marBottom w:val="0"/>
                  <w:divBdr>
                    <w:top w:val="none" w:sz="0" w:space="0" w:color="auto"/>
                    <w:left w:val="none" w:sz="0" w:space="0" w:color="auto"/>
                    <w:bottom w:val="none" w:sz="0" w:space="0" w:color="auto"/>
                    <w:right w:val="none" w:sz="0" w:space="0" w:color="auto"/>
                  </w:divBdr>
                  <w:divsChild>
                    <w:div w:id="1926261320">
                      <w:marLeft w:val="0"/>
                      <w:marRight w:val="0"/>
                      <w:marTop w:val="0"/>
                      <w:marBottom w:val="0"/>
                      <w:divBdr>
                        <w:top w:val="none" w:sz="0" w:space="0" w:color="auto"/>
                        <w:left w:val="none" w:sz="0" w:space="0" w:color="auto"/>
                        <w:bottom w:val="none" w:sz="0" w:space="0" w:color="auto"/>
                        <w:right w:val="none" w:sz="0" w:space="0" w:color="auto"/>
                      </w:divBdr>
                      <w:divsChild>
                        <w:div w:id="137844672">
                          <w:marLeft w:val="0"/>
                          <w:marRight w:val="0"/>
                          <w:marTop w:val="0"/>
                          <w:marBottom w:val="60"/>
                          <w:divBdr>
                            <w:top w:val="none" w:sz="0" w:space="0" w:color="auto"/>
                            <w:left w:val="single" w:sz="6" w:space="8" w:color="D3D3D3"/>
                            <w:bottom w:val="single" w:sz="12" w:space="8" w:color="FEC938"/>
                            <w:right w:val="single" w:sz="6" w:space="8" w:color="D3D3D3"/>
                          </w:divBdr>
                          <w:divsChild>
                            <w:div w:id="1815294629">
                              <w:marLeft w:val="0"/>
                              <w:marRight w:val="0"/>
                              <w:marTop w:val="0"/>
                              <w:marBottom w:val="0"/>
                              <w:divBdr>
                                <w:top w:val="none" w:sz="0" w:space="0" w:color="auto"/>
                                <w:left w:val="none" w:sz="0" w:space="0" w:color="auto"/>
                                <w:bottom w:val="single" w:sz="6" w:space="8" w:color="D3D3D3"/>
                                <w:right w:val="none" w:sz="0" w:space="0" w:color="auto"/>
                              </w:divBdr>
                            </w:div>
                          </w:divsChild>
                        </w:div>
                      </w:divsChild>
                    </w:div>
                  </w:divsChild>
                </w:div>
              </w:divsChild>
            </w:div>
          </w:divsChild>
        </w:div>
      </w:divsChild>
    </w:div>
    <w:div w:id="1860243362">
      <w:bodyDiv w:val="1"/>
      <w:marLeft w:val="0"/>
      <w:marRight w:val="0"/>
      <w:marTop w:val="0"/>
      <w:marBottom w:val="0"/>
      <w:divBdr>
        <w:top w:val="none" w:sz="0" w:space="0" w:color="auto"/>
        <w:left w:val="none" w:sz="0" w:space="0" w:color="auto"/>
        <w:bottom w:val="none" w:sz="0" w:space="0" w:color="auto"/>
        <w:right w:val="none" w:sz="0" w:space="0" w:color="auto"/>
      </w:divBdr>
    </w:div>
    <w:div w:id="1973168648">
      <w:bodyDiv w:val="1"/>
      <w:marLeft w:val="0"/>
      <w:marRight w:val="0"/>
      <w:marTop w:val="0"/>
      <w:marBottom w:val="0"/>
      <w:divBdr>
        <w:top w:val="none" w:sz="0" w:space="0" w:color="auto"/>
        <w:left w:val="none" w:sz="0" w:space="0" w:color="auto"/>
        <w:bottom w:val="none" w:sz="0" w:space="0" w:color="auto"/>
        <w:right w:val="none" w:sz="0" w:space="0" w:color="auto"/>
      </w:divBdr>
    </w:div>
    <w:div w:id="2083024855">
      <w:bodyDiv w:val="1"/>
      <w:marLeft w:val="0"/>
      <w:marRight w:val="0"/>
      <w:marTop w:val="0"/>
      <w:marBottom w:val="0"/>
      <w:divBdr>
        <w:top w:val="none" w:sz="0" w:space="0" w:color="auto"/>
        <w:left w:val="none" w:sz="0" w:space="0" w:color="auto"/>
        <w:bottom w:val="none" w:sz="0" w:space="0" w:color="auto"/>
        <w:right w:val="none" w:sz="0" w:space="0" w:color="auto"/>
      </w:divBdr>
    </w:div>
    <w:div w:id="2133356764">
      <w:bodyDiv w:val="1"/>
      <w:marLeft w:val="0"/>
      <w:marRight w:val="0"/>
      <w:marTop w:val="0"/>
      <w:marBottom w:val="0"/>
      <w:divBdr>
        <w:top w:val="none" w:sz="0" w:space="0" w:color="auto"/>
        <w:left w:val="none" w:sz="0" w:space="0" w:color="auto"/>
        <w:bottom w:val="none" w:sz="0" w:space="0" w:color="auto"/>
        <w:right w:val="none" w:sz="0" w:space="0" w:color="auto"/>
      </w:divBdr>
      <w:divsChild>
        <w:div w:id="976837375">
          <w:marLeft w:val="0"/>
          <w:marRight w:val="0"/>
          <w:marTop w:val="0"/>
          <w:marBottom w:val="0"/>
          <w:divBdr>
            <w:top w:val="none" w:sz="0" w:space="0" w:color="auto"/>
            <w:left w:val="none" w:sz="0" w:space="0" w:color="auto"/>
            <w:bottom w:val="none" w:sz="0" w:space="0" w:color="auto"/>
            <w:right w:val="none" w:sz="0" w:space="0" w:color="auto"/>
          </w:divBdr>
          <w:divsChild>
            <w:div w:id="1783649544">
              <w:marLeft w:val="0"/>
              <w:marRight w:val="0"/>
              <w:marTop w:val="0"/>
              <w:marBottom w:val="0"/>
              <w:divBdr>
                <w:top w:val="none" w:sz="0" w:space="0" w:color="auto"/>
                <w:left w:val="none" w:sz="0" w:space="0" w:color="auto"/>
                <w:bottom w:val="none" w:sz="0" w:space="0" w:color="auto"/>
                <w:right w:val="none" w:sz="0" w:space="0" w:color="auto"/>
              </w:divBdr>
              <w:divsChild>
                <w:div w:id="1231889977">
                  <w:marLeft w:val="0"/>
                  <w:marRight w:val="0"/>
                  <w:marTop w:val="0"/>
                  <w:marBottom w:val="0"/>
                  <w:divBdr>
                    <w:top w:val="none" w:sz="0" w:space="0" w:color="auto"/>
                    <w:left w:val="none" w:sz="0" w:space="0" w:color="auto"/>
                    <w:bottom w:val="none" w:sz="0" w:space="0" w:color="auto"/>
                    <w:right w:val="none" w:sz="0" w:space="0" w:color="auto"/>
                  </w:divBdr>
                  <w:divsChild>
                    <w:div w:id="583687787">
                      <w:marLeft w:val="0"/>
                      <w:marRight w:val="0"/>
                      <w:marTop w:val="0"/>
                      <w:marBottom w:val="0"/>
                      <w:divBdr>
                        <w:top w:val="none" w:sz="0" w:space="0" w:color="auto"/>
                        <w:left w:val="none" w:sz="0" w:space="0" w:color="auto"/>
                        <w:bottom w:val="none" w:sz="0" w:space="0" w:color="auto"/>
                        <w:right w:val="none" w:sz="0" w:space="0" w:color="auto"/>
                      </w:divBdr>
                      <w:divsChild>
                        <w:div w:id="142620166">
                          <w:marLeft w:val="0"/>
                          <w:marRight w:val="0"/>
                          <w:marTop w:val="0"/>
                          <w:marBottom w:val="0"/>
                          <w:divBdr>
                            <w:top w:val="none" w:sz="0" w:space="0" w:color="auto"/>
                            <w:left w:val="none" w:sz="0" w:space="0" w:color="auto"/>
                            <w:bottom w:val="none" w:sz="0" w:space="0" w:color="auto"/>
                            <w:right w:val="none" w:sz="0" w:space="0" w:color="auto"/>
                          </w:divBdr>
                          <w:divsChild>
                            <w:div w:id="1391809745">
                              <w:marLeft w:val="0"/>
                              <w:marRight w:val="0"/>
                              <w:marTop w:val="0"/>
                              <w:marBottom w:val="0"/>
                              <w:divBdr>
                                <w:top w:val="none" w:sz="0" w:space="0" w:color="auto"/>
                                <w:left w:val="none" w:sz="0" w:space="0" w:color="auto"/>
                                <w:bottom w:val="none" w:sz="0" w:space="0" w:color="auto"/>
                                <w:right w:val="none" w:sz="0" w:space="0" w:color="auto"/>
                              </w:divBdr>
                              <w:divsChild>
                                <w:div w:id="1260289659">
                                  <w:marLeft w:val="0"/>
                                  <w:marRight w:val="0"/>
                                  <w:marTop w:val="0"/>
                                  <w:marBottom w:val="0"/>
                                  <w:divBdr>
                                    <w:top w:val="none" w:sz="0" w:space="0" w:color="auto"/>
                                    <w:left w:val="none" w:sz="0" w:space="0" w:color="auto"/>
                                    <w:bottom w:val="none" w:sz="0" w:space="0" w:color="auto"/>
                                    <w:right w:val="none" w:sz="0" w:space="0" w:color="auto"/>
                                  </w:divBdr>
                                  <w:divsChild>
                                    <w:div w:id="499585254">
                                      <w:marLeft w:val="0"/>
                                      <w:marRight w:val="0"/>
                                      <w:marTop w:val="0"/>
                                      <w:marBottom w:val="0"/>
                                      <w:divBdr>
                                        <w:top w:val="none" w:sz="0" w:space="0" w:color="auto"/>
                                        <w:left w:val="none" w:sz="0" w:space="0" w:color="auto"/>
                                        <w:bottom w:val="none" w:sz="0" w:space="0" w:color="auto"/>
                                        <w:right w:val="none" w:sz="0" w:space="0" w:color="auto"/>
                                      </w:divBdr>
                                      <w:divsChild>
                                        <w:div w:id="1291203298">
                                          <w:marLeft w:val="0"/>
                                          <w:marRight w:val="0"/>
                                          <w:marTop w:val="0"/>
                                          <w:marBottom w:val="0"/>
                                          <w:divBdr>
                                            <w:top w:val="none" w:sz="0" w:space="0" w:color="auto"/>
                                            <w:left w:val="none" w:sz="0" w:space="0" w:color="auto"/>
                                            <w:bottom w:val="none" w:sz="0" w:space="0" w:color="auto"/>
                                            <w:right w:val="none" w:sz="0" w:space="0" w:color="auto"/>
                                          </w:divBdr>
                                          <w:divsChild>
                                            <w:div w:id="1616717418">
                                              <w:marLeft w:val="0"/>
                                              <w:marRight w:val="0"/>
                                              <w:marTop w:val="0"/>
                                              <w:marBottom w:val="495"/>
                                              <w:divBdr>
                                                <w:top w:val="none" w:sz="0" w:space="0" w:color="auto"/>
                                                <w:left w:val="none" w:sz="0" w:space="0" w:color="auto"/>
                                                <w:bottom w:val="none" w:sz="0" w:space="0" w:color="auto"/>
                                                <w:right w:val="none" w:sz="0" w:space="0" w:color="auto"/>
                                              </w:divBdr>
                                              <w:divsChild>
                                                <w:div w:id="10708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package" Target="embeddings/Microsoft_Excel_Worksheet1.xlsx"/><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image" Target="media/image1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BEBC5-A6D5-46A0-BCED-0312326E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32244</Words>
  <Characters>183796</Characters>
  <Application>Microsoft Office Word</Application>
  <DocSecurity>0</DocSecurity>
  <Lines>1531</Lines>
  <Paragraphs>431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trategia energetică a României 2019-2030, cu perspectiva anului 205</vt:lpstr>
      <vt:lpstr>trategia energetică a României 2019-2030, cu perspectiva anului 205</vt:lpstr>
    </vt:vector>
  </TitlesOfParts>
  <LinksUpToDate>false</LinksUpToDate>
  <CharactersWithSpaces>215609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trategia energetică a României 2019-2030, cu perspectiva anului 205</dc:title>
  <dc:creator/>
  <cp:lastModifiedBy/>
  <cp:revision>1</cp:revision>
  <dcterms:created xsi:type="dcterms:W3CDTF">2020-11-19T08:54:00Z</dcterms:created>
  <dcterms:modified xsi:type="dcterms:W3CDTF">2020-11-19T08:54:00Z</dcterms:modified>
</cp:coreProperties>
</file>