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E711" w14:textId="5529B19D" w:rsidR="00C20A53" w:rsidRDefault="00D518D5" w:rsidP="00C20A53">
      <w:pPr>
        <w:widowControl w:val="0"/>
        <w:suppressAutoHyphens w:val="0"/>
        <w:spacing w:line="276" w:lineRule="auto"/>
        <w:ind w:left="60"/>
        <w:jc w:val="center"/>
        <w:rPr>
          <w:b/>
          <w:kern w:val="0"/>
          <w:lang w:eastAsia="en-US"/>
        </w:rPr>
      </w:pPr>
      <w:r w:rsidRPr="00511316">
        <w:rPr>
          <w:b/>
          <w:kern w:val="0"/>
          <w:lang w:eastAsia="en-US"/>
        </w:rPr>
        <w:t>NOTĂ DE FUNDAMENTARE</w:t>
      </w:r>
    </w:p>
    <w:p w14:paraId="15746805" w14:textId="77777777" w:rsidR="006827C9" w:rsidRPr="00511316" w:rsidRDefault="006827C9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898"/>
        <w:gridCol w:w="1066"/>
        <w:gridCol w:w="1276"/>
        <w:gridCol w:w="1377"/>
        <w:gridCol w:w="749"/>
        <w:gridCol w:w="709"/>
        <w:gridCol w:w="673"/>
        <w:gridCol w:w="1170"/>
      </w:tblGrid>
      <w:tr w:rsidR="009A649C" w:rsidRPr="00E66E8C" w14:paraId="0B8E1EEE" w14:textId="77777777" w:rsidTr="00A411DC">
        <w:tc>
          <w:tcPr>
            <w:tcW w:w="9918" w:type="dxa"/>
            <w:gridSpan w:val="8"/>
          </w:tcPr>
          <w:p w14:paraId="503C2552" w14:textId="77777777" w:rsidR="009A649C" w:rsidRPr="00E66E8C" w:rsidRDefault="009A649C" w:rsidP="009A649C">
            <w:pPr>
              <w:jc w:val="center"/>
              <w:rPr>
                <w:b/>
                <w:i/>
                <w:color w:val="000000" w:themeColor="text1"/>
              </w:rPr>
            </w:pPr>
          </w:p>
          <w:p w14:paraId="2DC7506C" w14:textId="3A4DA83E" w:rsidR="006827C9" w:rsidRPr="00E66E8C" w:rsidRDefault="006827C9" w:rsidP="009A649C">
            <w:pPr>
              <w:jc w:val="center"/>
              <w:rPr>
                <w:b/>
                <w:i/>
                <w:color w:val="000000" w:themeColor="text1"/>
              </w:rPr>
            </w:pPr>
            <w:r w:rsidRPr="00E66E8C">
              <w:rPr>
                <w:b/>
                <w:i/>
                <w:color w:val="000000" w:themeColor="text1"/>
              </w:rPr>
              <w:t>Secţiunea 1</w:t>
            </w:r>
          </w:p>
          <w:p w14:paraId="52651972" w14:textId="38A79AC1" w:rsidR="009A649C" w:rsidRPr="00E66E8C" w:rsidRDefault="006827C9" w:rsidP="00E66E8C">
            <w:pPr>
              <w:jc w:val="center"/>
              <w:rPr>
                <w:b/>
                <w:color w:val="000000" w:themeColor="text1"/>
              </w:rPr>
            </w:pPr>
            <w:r w:rsidRPr="00E66E8C">
              <w:rPr>
                <w:b/>
                <w:i/>
                <w:color w:val="000000" w:themeColor="text1"/>
              </w:rPr>
              <w:t>Titlul prezentului act normativ</w:t>
            </w:r>
          </w:p>
        </w:tc>
      </w:tr>
      <w:tr w:rsidR="009A649C" w:rsidRPr="00E66E8C" w14:paraId="26F8A10E" w14:textId="77777777" w:rsidTr="00A411DC">
        <w:tc>
          <w:tcPr>
            <w:tcW w:w="9918" w:type="dxa"/>
            <w:gridSpan w:val="8"/>
          </w:tcPr>
          <w:p w14:paraId="6990C26C" w14:textId="0C4A8EE1" w:rsidR="009A649C" w:rsidRDefault="009A649C" w:rsidP="009A649C">
            <w:pPr>
              <w:jc w:val="center"/>
              <w:rPr>
                <w:b/>
                <w:color w:val="000000" w:themeColor="text1"/>
              </w:rPr>
            </w:pPr>
          </w:p>
          <w:p w14:paraId="2357FE25" w14:textId="77777777" w:rsidR="000A1CCA" w:rsidRDefault="000A1CCA" w:rsidP="009A649C">
            <w:pPr>
              <w:jc w:val="center"/>
              <w:rPr>
                <w:b/>
                <w:color w:val="000000" w:themeColor="text1"/>
              </w:rPr>
            </w:pPr>
          </w:p>
          <w:p w14:paraId="63208015" w14:textId="6217E301" w:rsidR="009C7EF8" w:rsidRDefault="005F78E5" w:rsidP="002A6AD1">
            <w:pPr>
              <w:jc w:val="center"/>
              <w:rPr>
                <w:b/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 xml:space="preserve">Ordonanță de urgență pentru modificarea și completarea Ordonanței de urgență </w:t>
            </w:r>
            <w:r w:rsidR="00E65DA9" w:rsidRPr="00E66E8C">
              <w:rPr>
                <w:b/>
                <w:color w:val="000000" w:themeColor="text1"/>
              </w:rPr>
              <w:t xml:space="preserve">a Guvernului </w:t>
            </w:r>
            <w:r w:rsidRPr="00E66E8C">
              <w:rPr>
                <w:b/>
                <w:color w:val="000000" w:themeColor="text1"/>
              </w:rPr>
              <w:t>nr. 27/2022</w:t>
            </w:r>
            <w:r w:rsidR="00E65DA9" w:rsidRPr="00E66E8C">
              <w:rPr>
                <w:b/>
                <w:color w:val="000000" w:themeColor="text1"/>
              </w:rPr>
              <w:t xml:space="preserve"> </w:t>
            </w:r>
            <w:r w:rsidRPr="00E66E8C">
              <w:rPr>
                <w:b/>
                <w:color w:val="000000" w:themeColor="text1"/>
              </w:rPr>
              <w:t>privind măsurile aplicabile clienților finali din piața de energie electrică și gaze naturale</w:t>
            </w:r>
            <w:r w:rsidR="00E65DA9" w:rsidRPr="00E66E8C">
              <w:rPr>
                <w:b/>
                <w:color w:val="000000" w:themeColor="text1"/>
              </w:rPr>
              <w:t xml:space="preserve"> </w:t>
            </w:r>
            <w:r w:rsidRPr="00E66E8C">
              <w:rPr>
                <w:b/>
                <w:color w:val="000000" w:themeColor="text1"/>
              </w:rPr>
              <w:t>în perioada 1 aprilie 2022—31 martie 2023, precum și pentru modificarea și completarea</w:t>
            </w:r>
            <w:r w:rsidR="002A6AD1" w:rsidRPr="00E66E8C">
              <w:rPr>
                <w:b/>
                <w:color w:val="000000" w:themeColor="text1"/>
              </w:rPr>
              <w:t xml:space="preserve"> </w:t>
            </w:r>
            <w:r w:rsidRPr="00E66E8C">
              <w:rPr>
                <w:b/>
                <w:color w:val="000000" w:themeColor="text1"/>
              </w:rPr>
              <w:t>unor acte normative din domeniul energiei</w:t>
            </w:r>
          </w:p>
          <w:p w14:paraId="6095268A" w14:textId="77777777" w:rsidR="00B41688" w:rsidRDefault="00B41688" w:rsidP="002A6AD1">
            <w:pPr>
              <w:jc w:val="center"/>
              <w:rPr>
                <w:color w:val="000000" w:themeColor="text1"/>
              </w:rPr>
            </w:pPr>
          </w:p>
          <w:p w14:paraId="0CE421FD" w14:textId="01BD91F5" w:rsidR="000A1CCA" w:rsidRPr="00E66E8C" w:rsidRDefault="000A1CCA" w:rsidP="002A6AD1">
            <w:pPr>
              <w:jc w:val="center"/>
              <w:rPr>
                <w:color w:val="000000" w:themeColor="text1"/>
              </w:rPr>
            </w:pPr>
          </w:p>
        </w:tc>
      </w:tr>
      <w:tr w:rsidR="009A649C" w:rsidRPr="00E66E8C" w14:paraId="5AC67994" w14:textId="77777777" w:rsidTr="00A411DC">
        <w:trPr>
          <w:trHeight w:val="602"/>
        </w:trPr>
        <w:tc>
          <w:tcPr>
            <w:tcW w:w="9918" w:type="dxa"/>
            <w:gridSpan w:val="8"/>
            <w:vAlign w:val="center"/>
          </w:tcPr>
          <w:p w14:paraId="2E5C292C" w14:textId="77777777" w:rsidR="009A649C" w:rsidRPr="00E66E8C" w:rsidRDefault="009A649C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</w:p>
          <w:p w14:paraId="2B476E21" w14:textId="2E70899D" w:rsidR="006827C9" w:rsidRPr="00E66E8C" w:rsidRDefault="006827C9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iCs/>
                <w:color w:val="000000" w:themeColor="text1"/>
                <w:lang w:eastAsia="ro-RO"/>
              </w:rPr>
              <w:t>Secţiunea a 2-a</w:t>
            </w:r>
          </w:p>
          <w:p w14:paraId="6E58ABDF" w14:textId="496C8045" w:rsidR="009A649C" w:rsidRPr="00E66E8C" w:rsidRDefault="006827C9" w:rsidP="00E66E8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iCs/>
                <w:color w:val="000000" w:themeColor="text1"/>
                <w:lang w:eastAsia="ro-RO"/>
              </w:rPr>
              <w:t>Motivul emiterii actului normativ</w:t>
            </w:r>
          </w:p>
        </w:tc>
      </w:tr>
      <w:tr w:rsidR="009A649C" w:rsidRPr="00E66E8C" w14:paraId="66F0F63A" w14:textId="77777777" w:rsidTr="00A411DC">
        <w:tc>
          <w:tcPr>
            <w:tcW w:w="2898" w:type="dxa"/>
          </w:tcPr>
          <w:p w14:paraId="0B330E71" w14:textId="77777777" w:rsidR="006827C9" w:rsidRPr="00E66E8C" w:rsidRDefault="006827C9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1. Descrierea situaţiei actuale</w:t>
            </w:r>
          </w:p>
        </w:tc>
        <w:tc>
          <w:tcPr>
            <w:tcW w:w="7020" w:type="dxa"/>
            <w:gridSpan w:val="7"/>
            <w:vAlign w:val="center"/>
          </w:tcPr>
          <w:p w14:paraId="0C3C874E" w14:textId="6CCCDD39" w:rsidR="00B6221F" w:rsidRDefault="00B6221F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Prin</w:t>
            </w:r>
            <w:r w:rsidR="005F78E5" w:rsidRPr="00E66E8C">
              <w:t xml:space="preserve"> </w:t>
            </w:r>
            <w:r w:rsidR="005F78E5" w:rsidRPr="00E66E8C">
              <w:rPr>
                <w:color w:val="000000" w:themeColor="text1"/>
              </w:rPr>
              <w:t xml:space="preserve">Ordonanța de urgență </w:t>
            </w:r>
            <w:r w:rsidR="00E65DA9" w:rsidRPr="00E66E8C">
              <w:rPr>
                <w:color w:val="000000" w:themeColor="text1"/>
              </w:rPr>
              <w:t xml:space="preserve">a Guvernului </w:t>
            </w:r>
            <w:r w:rsidR="005F78E5" w:rsidRPr="00E66E8C">
              <w:rPr>
                <w:color w:val="000000" w:themeColor="text1"/>
              </w:rPr>
              <w:t>nr. 27/2022 privind măsurile aplicabile clienților finali din piața de energie electrică și gaze naturale în perioada 1 aprilie 2022—31 martie 2023, precum și pentru modificarea și completarea unor acte normative din domeniul energiei</w:t>
            </w:r>
            <w:r w:rsidRPr="00E66E8C">
              <w:rPr>
                <w:color w:val="000000" w:themeColor="text1"/>
              </w:rPr>
              <w:t xml:space="preserve"> </w:t>
            </w:r>
            <w:r w:rsidR="00FF7AD9" w:rsidRPr="00E66E8C">
              <w:rPr>
                <w:color w:val="000000" w:themeColor="text1"/>
              </w:rPr>
              <w:t xml:space="preserve">(denumită în continuare </w:t>
            </w:r>
            <w:r w:rsidR="00163A19">
              <w:rPr>
                <w:color w:val="000000" w:themeColor="text1"/>
              </w:rPr>
              <w:t>Ordonanța de urgență a Guvernului</w:t>
            </w:r>
            <w:r w:rsidR="00163A19" w:rsidRPr="00E66E8C">
              <w:rPr>
                <w:color w:val="000000" w:themeColor="text1"/>
              </w:rPr>
              <w:t xml:space="preserve"> </w:t>
            </w:r>
            <w:r w:rsidR="00FF7AD9" w:rsidRPr="00E66E8C">
              <w:rPr>
                <w:color w:val="000000" w:themeColor="text1"/>
              </w:rPr>
              <w:t xml:space="preserve">nr. </w:t>
            </w:r>
            <w:r w:rsidR="005F78E5" w:rsidRPr="00E66E8C">
              <w:rPr>
                <w:color w:val="000000" w:themeColor="text1"/>
              </w:rPr>
              <w:t>27</w:t>
            </w:r>
            <w:r w:rsidR="00FF7AD9" w:rsidRPr="00E66E8C">
              <w:rPr>
                <w:color w:val="000000" w:themeColor="text1"/>
              </w:rPr>
              <w:t>/202</w:t>
            </w:r>
            <w:r w:rsidR="005F78E5" w:rsidRPr="00E66E8C">
              <w:rPr>
                <w:color w:val="000000" w:themeColor="text1"/>
              </w:rPr>
              <w:t>2</w:t>
            </w:r>
            <w:r w:rsidR="00FF7AD9" w:rsidRPr="00E66E8C">
              <w:rPr>
                <w:color w:val="000000" w:themeColor="text1"/>
              </w:rPr>
              <w:t>)</w:t>
            </w:r>
            <w:r w:rsidR="008827F6" w:rsidRPr="00E66E8C">
              <w:rPr>
                <w:color w:val="000000" w:themeColor="text1"/>
              </w:rPr>
              <w:t xml:space="preserve">, </w:t>
            </w:r>
            <w:r w:rsidRPr="00E66E8C">
              <w:rPr>
                <w:color w:val="000000" w:themeColor="text1"/>
              </w:rPr>
              <w:t>s-a stabilit o schem</w:t>
            </w:r>
            <w:r w:rsidR="008827F6" w:rsidRPr="00E66E8C">
              <w:rPr>
                <w:color w:val="000000" w:themeColor="text1"/>
              </w:rPr>
              <w:t>ă</w:t>
            </w:r>
            <w:r w:rsidRPr="00E66E8C">
              <w:rPr>
                <w:color w:val="000000" w:themeColor="text1"/>
              </w:rPr>
              <w:t xml:space="preserve"> de sprijin pentru</w:t>
            </w:r>
            <w:r w:rsidR="005F78E5" w:rsidRPr="00E66E8C">
              <w:rPr>
                <w:color w:val="000000" w:themeColor="text1"/>
              </w:rPr>
              <w:t xml:space="preserve"> </w:t>
            </w:r>
            <w:r w:rsidRPr="00E66E8C">
              <w:rPr>
                <w:color w:val="000000" w:themeColor="text1"/>
              </w:rPr>
              <w:t>clien</w:t>
            </w:r>
            <w:r w:rsidR="008827F6" w:rsidRPr="00E66E8C">
              <w:rPr>
                <w:color w:val="000000" w:themeColor="text1"/>
              </w:rPr>
              <w:t>ți</w:t>
            </w:r>
            <w:r w:rsidR="005F78E5" w:rsidRPr="00E66E8C">
              <w:rPr>
                <w:color w:val="000000" w:themeColor="text1"/>
              </w:rPr>
              <w:t>i</w:t>
            </w:r>
            <w:r w:rsidR="008827F6" w:rsidRPr="00E66E8C">
              <w:rPr>
                <w:color w:val="000000" w:themeColor="text1"/>
              </w:rPr>
              <w:t xml:space="preserve"> finali </w:t>
            </w:r>
            <w:r w:rsidRPr="00E66E8C">
              <w:rPr>
                <w:color w:val="000000" w:themeColor="text1"/>
              </w:rPr>
              <w:t>de energie electric</w:t>
            </w:r>
            <w:r w:rsidR="005A0558" w:rsidRPr="00E66E8C">
              <w:rPr>
                <w:color w:val="000000" w:themeColor="text1"/>
              </w:rPr>
              <w:t>ă</w:t>
            </w:r>
            <w:r w:rsidRPr="00E66E8C">
              <w:rPr>
                <w:color w:val="000000" w:themeColor="text1"/>
              </w:rPr>
              <w:t xml:space="preserve"> </w:t>
            </w:r>
            <w:r w:rsidR="005A0558" w:rsidRPr="00E66E8C">
              <w:rPr>
                <w:color w:val="000000" w:themeColor="text1"/>
              </w:rPr>
              <w:t>ș</w:t>
            </w:r>
            <w:r w:rsidRPr="00E66E8C">
              <w:rPr>
                <w:color w:val="000000" w:themeColor="text1"/>
              </w:rPr>
              <w:t xml:space="preserve">i </w:t>
            </w:r>
            <w:r w:rsidR="008827F6" w:rsidRPr="00E66E8C">
              <w:rPr>
                <w:color w:val="000000" w:themeColor="text1"/>
              </w:rPr>
              <w:t xml:space="preserve">de </w:t>
            </w:r>
            <w:r w:rsidRPr="00E66E8C">
              <w:rPr>
                <w:color w:val="000000" w:themeColor="text1"/>
              </w:rPr>
              <w:t xml:space="preserve">gaze naturale, pentru a veni </w:t>
            </w:r>
            <w:r w:rsidR="005A0558" w:rsidRPr="00E66E8C">
              <w:rPr>
                <w:color w:val="000000" w:themeColor="text1"/>
              </w:rPr>
              <w:t>î</w:t>
            </w:r>
            <w:r w:rsidRPr="00E66E8C">
              <w:rPr>
                <w:color w:val="000000" w:themeColor="text1"/>
              </w:rPr>
              <w:t xml:space="preserve">n sprijinul acestora </w:t>
            </w:r>
            <w:r w:rsidR="005A0558" w:rsidRPr="00E66E8C">
              <w:rPr>
                <w:color w:val="000000" w:themeColor="text1"/>
              </w:rPr>
              <w:t>î</w:t>
            </w:r>
            <w:r w:rsidRPr="00E66E8C">
              <w:rPr>
                <w:color w:val="000000" w:themeColor="text1"/>
              </w:rPr>
              <w:t>n contextul cre</w:t>
            </w:r>
            <w:r w:rsidR="005A0558" w:rsidRPr="00E66E8C">
              <w:rPr>
                <w:color w:val="000000" w:themeColor="text1"/>
              </w:rPr>
              <w:t>ș</w:t>
            </w:r>
            <w:r w:rsidRPr="00E66E8C">
              <w:rPr>
                <w:color w:val="000000" w:themeColor="text1"/>
              </w:rPr>
              <w:t>terii abrupte a pre</w:t>
            </w:r>
            <w:r w:rsidR="005A0558" w:rsidRPr="00E66E8C">
              <w:rPr>
                <w:color w:val="000000" w:themeColor="text1"/>
              </w:rPr>
              <w:t>ț</w:t>
            </w:r>
            <w:r w:rsidRPr="00E66E8C">
              <w:rPr>
                <w:color w:val="000000" w:themeColor="text1"/>
              </w:rPr>
              <w:t>urilor celor dou</w:t>
            </w:r>
            <w:r w:rsidR="005A0558" w:rsidRPr="00E66E8C">
              <w:rPr>
                <w:color w:val="000000" w:themeColor="text1"/>
              </w:rPr>
              <w:t>ă</w:t>
            </w:r>
            <w:r w:rsidRPr="00E66E8C">
              <w:rPr>
                <w:color w:val="000000" w:themeColor="text1"/>
              </w:rPr>
              <w:t xml:space="preserve"> utilit</w:t>
            </w:r>
            <w:r w:rsidR="005A0558" w:rsidRPr="00E66E8C">
              <w:rPr>
                <w:color w:val="000000" w:themeColor="text1"/>
              </w:rPr>
              <w:t>ăț</w:t>
            </w:r>
            <w:r w:rsidRPr="00E66E8C">
              <w:rPr>
                <w:color w:val="000000" w:themeColor="text1"/>
              </w:rPr>
              <w:t>i</w:t>
            </w:r>
            <w:r w:rsidR="008827F6" w:rsidRPr="00E66E8C">
              <w:rPr>
                <w:color w:val="000000" w:themeColor="text1"/>
              </w:rPr>
              <w:t>,</w:t>
            </w:r>
            <w:r w:rsidRPr="00E66E8C">
              <w:rPr>
                <w:color w:val="000000" w:themeColor="text1"/>
              </w:rPr>
              <w:t xml:space="preserve"> care s-au </w:t>
            </w:r>
            <w:r w:rsidR="005A0558" w:rsidRPr="00E66E8C">
              <w:rPr>
                <w:color w:val="000000" w:themeColor="text1"/>
              </w:rPr>
              <w:t>î</w:t>
            </w:r>
            <w:r w:rsidRPr="00E66E8C">
              <w:rPr>
                <w:color w:val="000000" w:themeColor="text1"/>
              </w:rPr>
              <w:t xml:space="preserve">nregistrat </w:t>
            </w:r>
            <w:r w:rsidR="005A0558" w:rsidRPr="00E66E8C">
              <w:rPr>
                <w:color w:val="000000" w:themeColor="text1"/>
              </w:rPr>
              <w:t>î</w:t>
            </w:r>
            <w:r w:rsidRPr="00E66E8C">
              <w:rPr>
                <w:color w:val="000000" w:themeColor="text1"/>
              </w:rPr>
              <w:t>ncep</w:t>
            </w:r>
            <w:r w:rsidR="005A0558" w:rsidRPr="00E66E8C">
              <w:rPr>
                <w:color w:val="000000" w:themeColor="text1"/>
              </w:rPr>
              <w:t>â</w:t>
            </w:r>
            <w:r w:rsidRPr="00E66E8C">
              <w:rPr>
                <w:color w:val="000000" w:themeColor="text1"/>
              </w:rPr>
              <w:t>nd cu vara anului 2021. Schema implementat</w:t>
            </w:r>
            <w:r w:rsidR="005A0558" w:rsidRPr="00E66E8C">
              <w:rPr>
                <w:color w:val="000000" w:themeColor="text1"/>
              </w:rPr>
              <w:t>ă</w:t>
            </w:r>
            <w:r w:rsidRPr="00E66E8C">
              <w:rPr>
                <w:color w:val="000000" w:themeColor="text1"/>
              </w:rPr>
              <w:t xml:space="preserve"> prin </w:t>
            </w:r>
            <w:r w:rsidR="00163A19">
              <w:rPr>
                <w:color w:val="000000" w:themeColor="text1"/>
              </w:rPr>
              <w:t>Ordonanța de urgență a Guvernului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="00FF7AD9" w:rsidRPr="00E66E8C">
              <w:rPr>
                <w:color w:val="000000" w:themeColor="text1"/>
              </w:rPr>
              <w:t xml:space="preserve">nr. </w:t>
            </w:r>
            <w:r w:rsidR="005F78E5" w:rsidRPr="00E66E8C">
              <w:rPr>
                <w:color w:val="000000" w:themeColor="text1"/>
              </w:rPr>
              <w:t>27/2022</w:t>
            </w:r>
            <w:r w:rsidRPr="00E66E8C">
              <w:rPr>
                <w:color w:val="000000" w:themeColor="text1"/>
              </w:rPr>
              <w:t xml:space="preserve"> se aplic</w:t>
            </w:r>
            <w:r w:rsidR="005A0558" w:rsidRPr="00E66E8C">
              <w:rPr>
                <w:color w:val="000000" w:themeColor="text1"/>
              </w:rPr>
              <w:t>ă</w:t>
            </w:r>
            <w:r w:rsidRPr="00E66E8C">
              <w:rPr>
                <w:color w:val="000000" w:themeColor="text1"/>
              </w:rPr>
              <w:t xml:space="preserve"> pe o perioad</w:t>
            </w:r>
            <w:r w:rsidR="00FF7AD9" w:rsidRPr="00E66E8C">
              <w:rPr>
                <w:color w:val="000000" w:themeColor="text1"/>
              </w:rPr>
              <w:t>ă</w:t>
            </w:r>
            <w:r w:rsidRPr="00E66E8C">
              <w:rPr>
                <w:color w:val="000000" w:themeColor="text1"/>
              </w:rPr>
              <w:t xml:space="preserve"> de </w:t>
            </w:r>
            <w:r w:rsidR="0055258B" w:rsidRPr="00E66E8C">
              <w:rPr>
                <w:color w:val="000000" w:themeColor="text1"/>
              </w:rPr>
              <w:t>12</w:t>
            </w:r>
            <w:r w:rsidRPr="00E66E8C">
              <w:rPr>
                <w:color w:val="000000" w:themeColor="text1"/>
              </w:rPr>
              <w:t xml:space="preserve"> luni, </w:t>
            </w:r>
            <w:r w:rsidR="00FF7AD9" w:rsidRPr="00E66E8C">
              <w:rPr>
                <w:color w:val="000000" w:themeColor="text1"/>
              </w:rPr>
              <w:t xml:space="preserve">între </w:t>
            </w:r>
            <w:r w:rsidRPr="00E66E8C">
              <w:rPr>
                <w:color w:val="000000" w:themeColor="text1"/>
              </w:rPr>
              <w:t xml:space="preserve">1 </w:t>
            </w:r>
            <w:r w:rsidR="0055258B" w:rsidRPr="00E66E8C">
              <w:rPr>
                <w:color w:val="000000" w:themeColor="text1"/>
              </w:rPr>
              <w:t>aprilie</w:t>
            </w:r>
            <w:r w:rsidRPr="00E66E8C">
              <w:rPr>
                <w:color w:val="000000" w:themeColor="text1"/>
              </w:rPr>
              <w:t xml:space="preserve"> 202</w:t>
            </w:r>
            <w:r w:rsidR="0055258B" w:rsidRPr="00E66E8C">
              <w:rPr>
                <w:color w:val="000000" w:themeColor="text1"/>
              </w:rPr>
              <w:t>2</w:t>
            </w:r>
            <w:r w:rsidRPr="00E66E8C">
              <w:rPr>
                <w:color w:val="000000" w:themeColor="text1"/>
              </w:rPr>
              <w:t xml:space="preserve"> </w:t>
            </w:r>
            <w:r w:rsidR="00FF7AD9" w:rsidRPr="00E66E8C">
              <w:rPr>
                <w:color w:val="000000" w:themeColor="text1"/>
              </w:rPr>
              <w:t xml:space="preserve">și </w:t>
            </w:r>
            <w:r w:rsidRPr="00E66E8C">
              <w:rPr>
                <w:color w:val="000000" w:themeColor="text1"/>
              </w:rPr>
              <w:t>31 martie 202</w:t>
            </w:r>
            <w:r w:rsidR="0055258B" w:rsidRPr="00E66E8C">
              <w:rPr>
                <w:color w:val="000000" w:themeColor="text1"/>
              </w:rPr>
              <w:t>3</w:t>
            </w:r>
            <w:r w:rsidRPr="00E66E8C">
              <w:t xml:space="preserve">, iar sprijinul </w:t>
            </w:r>
            <w:r w:rsidRPr="00E66E8C">
              <w:rPr>
                <w:color w:val="000000" w:themeColor="text1"/>
              </w:rPr>
              <w:t>financiar este acordat prin intermediul bugetului de stat.</w:t>
            </w:r>
          </w:p>
          <w:p w14:paraId="405641F7" w14:textId="77777777" w:rsidR="000A1CCA" w:rsidRDefault="005647E5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După publicarea </w:t>
            </w:r>
            <w:r w:rsidR="00163A19">
              <w:rPr>
                <w:color w:val="000000" w:themeColor="text1"/>
              </w:rPr>
              <w:t>Ordonanței de urgență a Guvernului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Pr="00E66E8C">
              <w:rPr>
                <w:color w:val="000000" w:themeColor="text1"/>
              </w:rPr>
              <w:t xml:space="preserve">nr. </w:t>
            </w:r>
            <w:r w:rsidR="004121DD" w:rsidRPr="00E66E8C">
              <w:rPr>
                <w:color w:val="000000" w:themeColor="text1"/>
              </w:rPr>
              <w:t xml:space="preserve">27/2022, din piață au apărut </w:t>
            </w:r>
            <w:r w:rsidR="00FA2EB4" w:rsidRPr="00E66E8C">
              <w:rPr>
                <w:color w:val="000000" w:themeColor="text1"/>
              </w:rPr>
              <w:t xml:space="preserve">solicitări de clarificare </w:t>
            </w:r>
            <w:r w:rsidR="004121DD" w:rsidRPr="00E66E8C">
              <w:rPr>
                <w:color w:val="000000" w:themeColor="text1"/>
              </w:rPr>
              <w:t>din partea operatorilor economici cu privire la aplicarea actului normativ</w:t>
            </w:r>
            <w:r w:rsidR="00F409C2">
              <w:rPr>
                <w:color w:val="000000" w:themeColor="text1"/>
              </w:rPr>
              <w:t>,</w:t>
            </w:r>
            <w:r w:rsidR="004121DD" w:rsidRPr="00E66E8C">
              <w:rPr>
                <w:color w:val="000000" w:themeColor="text1"/>
              </w:rPr>
              <w:t xml:space="preserve"> precum și cu privire la explicitarea unor termeni în vederea clarificării căror operatori economici li se aplică.</w:t>
            </w:r>
            <w:r w:rsidR="00E64EF0" w:rsidRPr="00E66E8C">
              <w:rPr>
                <w:color w:val="000000" w:themeColor="text1"/>
              </w:rPr>
              <w:t xml:space="preserve"> Cu titlu de exemplu menționăm </w:t>
            </w:r>
            <w:r w:rsidR="00B15FB1" w:rsidRPr="00E66E8C">
              <w:rPr>
                <w:color w:val="000000" w:themeColor="text1"/>
              </w:rPr>
              <w:t xml:space="preserve">solicitarea de clarificare a </w:t>
            </w:r>
            <w:r w:rsidR="00E64EF0" w:rsidRPr="00E66E8C">
              <w:rPr>
                <w:color w:val="000000" w:themeColor="text1"/>
              </w:rPr>
              <w:t>sintagm</w:t>
            </w:r>
            <w:r w:rsidR="00B15FB1" w:rsidRPr="00E66E8C">
              <w:rPr>
                <w:color w:val="000000" w:themeColor="text1"/>
              </w:rPr>
              <w:t>ei</w:t>
            </w:r>
            <w:r w:rsidR="00E64EF0" w:rsidRPr="00E66E8C">
              <w:rPr>
                <w:color w:val="000000" w:themeColor="text1"/>
              </w:rPr>
              <w:t xml:space="preserve"> „</w:t>
            </w:r>
            <w:r w:rsidR="00E64EF0" w:rsidRPr="00E66E8C">
              <w:rPr>
                <w:bCs/>
                <w:iCs/>
                <w:color w:val="000000" w:themeColor="text1"/>
              </w:rPr>
              <w:t>furnizor/operator de distribuție de energie electrică care asigură revânzarea energiei electrice</w:t>
            </w:r>
            <w:r w:rsidR="00E64EF0" w:rsidRPr="00E66E8C">
              <w:rPr>
                <w:color w:val="000000" w:themeColor="text1"/>
              </w:rPr>
              <w:t>” care, în accepțiunea eronată a unor operatori economici ar include doar furnizorii de energie electrică</w:t>
            </w:r>
            <w:r w:rsidR="00B15FB1" w:rsidRPr="00E66E8C">
              <w:rPr>
                <w:color w:val="000000" w:themeColor="text1"/>
              </w:rPr>
              <w:t>, interpretare care nu corespunde intenției legiuitorului</w:t>
            </w:r>
            <w:r w:rsidR="00E64EF0" w:rsidRPr="00E66E8C">
              <w:rPr>
                <w:color w:val="000000" w:themeColor="text1"/>
              </w:rPr>
              <w:t>.</w:t>
            </w:r>
            <w:r w:rsidR="002E64AC">
              <w:rPr>
                <w:color w:val="000000" w:themeColor="text1"/>
              </w:rPr>
              <w:t xml:space="preserve"> </w:t>
            </w:r>
          </w:p>
          <w:p w14:paraId="1609881A" w14:textId="482D861C" w:rsidR="00DE1FF8" w:rsidRDefault="002E64AC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 asemenea, a fost identificată existența unui tratament discriminatoriu aplicat clientilor casnici at</w:t>
            </w:r>
            <w:r w:rsidR="00F409C2">
              <w:rPr>
                <w:color w:val="000000" w:themeColor="text1"/>
              </w:rPr>
              <w:t>â</w:t>
            </w:r>
            <w:r>
              <w:rPr>
                <w:color w:val="000000" w:themeColor="text1"/>
              </w:rPr>
              <w:t>t fa</w:t>
            </w:r>
            <w:r w:rsidR="00F409C2">
              <w:rPr>
                <w:color w:val="000000" w:themeColor="text1"/>
              </w:rPr>
              <w:t>ță</w:t>
            </w:r>
            <w:r>
              <w:rPr>
                <w:color w:val="000000" w:themeColor="text1"/>
              </w:rPr>
              <w:t xml:space="preserve"> de clienții noncasnici privitor la schema de sprijin aferentă energiei termice</w:t>
            </w:r>
            <w:r w:rsidR="00FC5F49">
              <w:rPr>
                <w:color w:val="000000" w:themeColor="text1"/>
              </w:rPr>
              <w:t>, cât și față de clienții casnici care utilizează gazele naturale pentru producerea apei calde, în perioada de vară</w:t>
            </w:r>
            <w:r>
              <w:rPr>
                <w:color w:val="000000" w:themeColor="text1"/>
              </w:rPr>
              <w:t>.</w:t>
            </w:r>
          </w:p>
          <w:p w14:paraId="7FA8C23A" w14:textId="385D57CD" w:rsidR="00111CF6" w:rsidRDefault="002F131A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În aceste condiții este imperios necesară emiterea unui act normativ care să îndeplinească atât funcția de clarificare a unor prevederi din </w:t>
            </w:r>
            <w:r w:rsidR="00163A19">
              <w:rPr>
                <w:color w:val="000000" w:themeColor="text1"/>
              </w:rPr>
              <w:t>Ordonanța de urgență a Guvernului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Pr="00E66E8C">
              <w:rPr>
                <w:color w:val="000000" w:themeColor="text1"/>
              </w:rPr>
              <w:t xml:space="preserve">nr. 27/2022 considerate confuze </w:t>
            </w:r>
            <w:r w:rsidR="00D50FB4" w:rsidRPr="00E66E8C">
              <w:rPr>
                <w:color w:val="000000" w:themeColor="text1"/>
              </w:rPr>
              <w:t xml:space="preserve">de actorii implicați în piața de energie cât și modificarea </w:t>
            </w:r>
            <w:r w:rsidR="00022BDA" w:rsidRPr="00E66E8C">
              <w:rPr>
                <w:color w:val="000000" w:themeColor="text1"/>
              </w:rPr>
              <w:t xml:space="preserve">și completarea </w:t>
            </w:r>
            <w:r w:rsidR="00D50FB4" w:rsidRPr="00E66E8C">
              <w:rPr>
                <w:color w:val="000000" w:themeColor="text1"/>
              </w:rPr>
              <w:lastRenderedPageBreak/>
              <w:t xml:space="preserve">respectivului act normativ </w:t>
            </w:r>
            <w:r w:rsidR="00022BDA" w:rsidRPr="00E66E8C">
              <w:rPr>
                <w:color w:val="000000" w:themeColor="text1"/>
              </w:rPr>
              <w:t>în vederea clarificării modului de calcul și a simplificării modului de repartizare a cantităților de gaze naturale.</w:t>
            </w:r>
          </w:p>
          <w:p w14:paraId="45488F13" w14:textId="21C7ACB8" w:rsidR="00F16526" w:rsidRDefault="00F16526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Așa cum s-a arătat anterior, prevederile Ordonanței de urgență a Guvernului nr. 27/2022 conțin reglementări aferente unei scheme de sprijin în domeniul energetic pentru perioada 1 aprilie 2022 – 31 martie 2023, fiind necesară clarificarea dispozițiilor acest</w:t>
            </w:r>
            <w:r w:rsidR="00580445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ia</w:t>
            </w:r>
            <w:r w:rsidR="00FA62D6">
              <w:rPr>
                <w:color w:val="000000" w:themeColor="text1"/>
              </w:rPr>
              <w:t>.</w:t>
            </w:r>
          </w:p>
          <w:p w14:paraId="0621814B" w14:textId="08C2212A" w:rsidR="00D5597C" w:rsidRDefault="00D5597C" w:rsidP="00822F5D">
            <w:pPr>
              <w:spacing w:line="276" w:lineRule="auto"/>
              <w:jc w:val="both"/>
              <w:rPr>
                <w:color w:val="000000" w:themeColor="text1"/>
              </w:rPr>
            </w:pPr>
            <w:bookmarkStart w:id="0" w:name="_Hlk99451559"/>
            <w:r w:rsidRPr="00E66E8C">
              <w:rPr>
                <w:color w:val="000000" w:themeColor="text1"/>
              </w:rPr>
              <w:t>Se estimează că i</w:t>
            </w:r>
            <w:r w:rsidR="00AA66C4" w:rsidRPr="00E66E8C">
              <w:rPr>
                <w:color w:val="000000" w:themeColor="text1"/>
              </w:rPr>
              <w:t xml:space="preserve">mpactul </w:t>
            </w:r>
            <w:r w:rsidR="00405DD9" w:rsidRPr="00E66E8C">
              <w:rPr>
                <w:color w:val="000000" w:themeColor="text1"/>
              </w:rPr>
              <w:t xml:space="preserve">bugetar </w:t>
            </w:r>
            <w:r w:rsidRPr="00E66E8C">
              <w:rPr>
                <w:color w:val="000000" w:themeColor="text1"/>
              </w:rPr>
              <w:t xml:space="preserve">al prezentului proiect de act normativ </w:t>
            </w:r>
            <w:r w:rsidR="00580445">
              <w:rPr>
                <w:color w:val="000000" w:themeColor="text1"/>
              </w:rPr>
              <w:t xml:space="preserve">nu afectează semnificativ </w:t>
            </w:r>
            <w:r w:rsidRPr="00E66E8C">
              <w:rPr>
                <w:color w:val="000000" w:themeColor="text1"/>
              </w:rPr>
              <w:t xml:space="preserve">impactul bugetar </w:t>
            </w:r>
            <w:r w:rsidR="00FA2EB4" w:rsidRPr="00E66E8C">
              <w:rPr>
                <w:color w:val="000000" w:themeColor="text1"/>
              </w:rPr>
              <w:t>a</w:t>
            </w:r>
            <w:r w:rsidRPr="00E66E8C">
              <w:rPr>
                <w:color w:val="000000" w:themeColor="text1"/>
              </w:rPr>
              <w:t>l actului de bază (</w:t>
            </w:r>
            <w:r w:rsidR="00163A19">
              <w:rPr>
                <w:color w:val="000000" w:themeColor="text1"/>
              </w:rPr>
              <w:t>Ordonanța de urgență a Guvernului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Pr="00E66E8C">
              <w:rPr>
                <w:color w:val="000000" w:themeColor="text1"/>
              </w:rPr>
              <w:t xml:space="preserve">nr. 27/2022), având în vedere faptul că modificările și completările propuse </w:t>
            </w:r>
            <w:r w:rsidR="00D17C3F" w:rsidRPr="00E66E8C">
              <w:rPr>
                <w:color w:val="000000" w:themeColor="text1"/>
              </w:rPr>
              <w:t xml:space="preserve">aduc clarificări de ordin tehnic pentru aplicarea schemei de sprijin instituite prin </w:t>
            </w:r>
            <w:r w:rsidR="00163A19">
              <w:rPr>
                <w:color w:val="000000" w:themeColor="text1"/>
              </w:rPr>
              <w:t>Ordonanța de urgență a Guvernului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="00D17C3F" w:rsidRPr="00E66E8C">
              <w:rPr>
                <w:color w:val="000000" w:themeColor="text1"/>
              </w:rPr>
              <w:t>nr. 27/2022.</w:t>
            </w:r>
          </w:p>
          <w:p w14:paraId="0C0C315B" w14:textId="3C30384A" w:rsidR="00F12B42" w:rsidRDefault="00F12B42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 datele existente la nivelul Autorității </w:t>
            </w:r>
            <w:r w:rsidRPr="00F12B42">
              <w:rPr>
                <w:color w:val="000000" w:themeColor="text1"/>
              </w:rPr>
              <w:t>Național</w:t>
            </w:r>
            <w:r>
              <w:rPr>
                <w:color w:val="000000" w:themeColor="text1"/>
              </w:rPr>
              <w:t>e</w:t>
            </w:r>
            <w:r w:rsidRPr="00F12B42">
              <w:rPr>
                <w:color w:val="000000" w:themeColor="text1"/>
              </w:rPr>
              <w:t xml:space="preserve"> de Reglementare în domeniul Energiei</w:t>
            </w:r>
            <w:r>
              <w:rPr>
                <w:color w:val="000000" w:themeColor="text1"/>
              </w:rPr>
              <w:t xml:space="preserve"> s-a constatat faptul că există anumite dificultăți în derularea procedurii de decontare, în ceea ce privește aspectele referitoare la regularizare, pentru măsura</w:t>
            </w:r>
            <w:r w:rsidRPr="00F12B42">
              <w:rPr>
                <w:color w:val="000000" w:themeColor="text1"/>
              </w:rPr>
              <w:t xml:space="preserve"> plafon</w:t>
            </w:r>
            <w:r>
              <w:rPr>
                <w:color w:val="000000" w:themeColor="text1"/>
              </w:rPr>
              <w:t>ă</w:t>
            </w:r>
            <w:r w:rsidRPr="00F12B42">
              <w:rPr>
                <w:color w:val="000000" w:themeColor="text1"/>
              </w:rPr>
              <w:t xml:space="preserve">rii </w:t>
            </w:r>
            <w:r>
              <w:rPr>
                <w:color w:val="000000" w:themeColor="text1"/>
              </w:rPr>
              <w:t>pentru</w:t>
            </w:r>
            <w:r w:rsidRPr="00F12B42">
              <w:rPr>
                <w:color w:val="000000" w:themeColor="text1"/>
              </w:rPr>
              <w:t xml:space="preserve"> perioada noiembrie </w:t>
            </w:r>
            <w:r>
              <w:rPr>
                <w:color w:val="000000" w:themeColor="text1"/>
              </w:rPr>
              <w:t>2021</w:t>
            </w:r>
            <w:r w:rsidRPr="00F12B42">
              <w:rPr>
                <w:color w:val="000000" w:themeColor="text1"/>
              </w:rPr>
              <w:t>- martie</w:t>
            </w:r>
            <w:r>
              <w:rPr>
                <w:color w:val="000000" w:themeColor="text1"/>
              </w:rPr>
              <w:t xml:space="preserve"> 2022</w:t>
            </w:r>
            <w:r w:rsidR="002739FC">
              <w:rPr>
                <w:color w:val="000000" w:themeColor="text1"/>
              </w:rPr>
              <w:t>, existând situații în care furnizorii au constatat că au introdus în mod eronat datele din cererile de decontare transmise fără a avea posibilitatea tehnică de revizuire a acestora.</w:t>
            </w:r>
          </w:p>
          <w:p w14:paraId="3A3186B5" w14:textId="5C36B1AA" w:rsidR="00F12B42" w:rsidRDefault="002739FC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F12B42" w:rsidRPr="00F12B42">
              <w:rPr>
                <w:color w:val="000000" w:themeColor="text1"/>
              </w:rPr>
              <w:t>dat</w:t>
            </w:r>
            <w:r w:rsidR="00580445">
              <w:rPr>
                <w:color w:val="000000" w:themeColor="text1"/>
              </w:rPr>
              <w:t>ă</w:t>
            </w:r>
            <w:r w:rsidR="00F12B42" w:rsidRPr="00F12B42">
              <w:rPr>
                <w:color w:val="000000" w:themeColor="text1"/>
              </w:rPr>
              <w:t xml:space="preserve"> cu apari</w:t>
            </w:r>
            <w:r w:rsidR="00F12B42">
              <w:rPr>
                <w:color w:val="000000" w:themeColor="text1"/>
              </w:rPr>
              <w:t>ț</w:t>
            </w:r>
            <w:r w:rsidR="00F12B42" w:rsidRPr="00F12B42">
              <w:rPr>
                <w:color w:val="000000" w:themeColor="text1"/>
              </w:rPr>
              <w:t xml:space="preserve">ia </w:t>
            </w:r>
            <w:r w:rsidR="00F12B42">
              <w:rPr>
                <w:color w:val="000000" w:themeColor="text1"/>
              </w:rPr>
              <w:t>Ordonanței de urgență a Guvernului</w:t>
            </w:r>
            <w:r w:rsidR="00F12B42" w:rsidRPr="002A5645">
              <w:rPr>
                <w:color w:val="000000" w:themeColor="text1"/>
              </w:rPr>
              <w:t xml:space="preserve"> </w:t>
            </w:r>
            <w:r w:rsidR="00F12B42">
              <w:rPr>
                <w:color w:val="000000" w:themeColor="text1"/>
              </w:rPr>
              <w:t xml:space="preserve">nr. </w:t>
            </w:r>
            <w:r w:rsidR="00F12B42" w:rsidRPr="00F12B42">
              <w:rPr>
                <w:color w:val="000000" w:themeColor="text1"/>
              </w:rPr>
              <w:t xml:space="preserve">27/2022 s-a reglementat regularizarea </w:t>
            </w:r>
            <w:r w:rsidR="00580445">
              <w:rPr>
                <w:color w:val="000000" w:themeColor="text1"/>
              </w:rPr>
              <w:t>ș</w:t>
            </w:r>
            <w:r w:rsidR="00F12B42" w:rsidRPr="00F12B42">
              <w:rPr>
                <w:color w:val="000000" w:themeColor="text1"/>
              </w:rPr>
              <w:t>i recunoa</w:t>
            </w:r>
            <w:r w:rsidR="00580445">
              <w:rPr>
                <w:color w:val="000000" w:themeColor="text1"/>
              </w:rPr>
              <w:t>ș</w:t>
            </w:r>
            <w:r w:rsidR="00F12B42" w:rsidRPr="00F12B42">
              <w:rPr>
                <w:color w:val="000000" w:themeColor="text1"/>
              </w:rPr>
              <w:t>terea unor costuri aferente perioadei antemen</w:t>
            </w:r>
            <w:r>
              <w:rPr>
                <w:color w:val="000000" w:themeColor="text1"/>
              </w:rPr>
              <w:t>ț</w:t>
            </w:r>
            <w:r w:rsidR="00F12B42" w:rsidRPr="00F12B42">
              <w:rPr>
                <w:color w:val="000000" w:themeColor="text1"/>
              </w:rPr>
              <w:t>ionate</w:t>
            </w:r>
            <w:r>
              <w:rPr>
                <w:color w:val="000000" w:themeColor="text1"/>
              </w:rPr>
              <w:t>. Sub acest aspect,</w:t>
            </w:r>
            <w:r w:rsidR="00F12B42" w:rsidRPr="00F12B4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este necesară reglementarea posibilității </w:t>
            </w:r>
            <w:r w:rsidR="00F12B42" w:rsidRPr="00F12B42">
              <w:rPr>
                <w:color w:val="000000" w:themeColor="text1"/>
              </w:rPr>
              <w:t>furnizori</w:t>
            </w:r>
            <w:r>
              <w:rPr>
                <w:color w:val="000000" w:themeColor="text1"/>
              </w:rPr>
              <w:t>lor</w:t>
            </w:r>
            <w:r w:rsidR="00F12B42" w:rsidRPr="00F12B4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de a-și </w:t>
            </w:r>
            <w:r w:rsidR="00F12B42" w:rsidRPr="00F12B42">
              <w:rPr>
                <w:color w:val="000000" w:themeColor="text1"/>
              </w:rPr>
              <w:t>refac</w:t>
            </w:r>
            <w:r>
              <w:rPr>
                <w:color w:val="000000" w:themeColor="text1"/>
              </w:rPr>
              <w:t xml:space="preserve">e și </w:t>
            </w:r>
            <w:r w:rsidR="00F12B42" w:rsidRPr="00F12B42">
              <w:rPr>
                <w:color w:val="000000" w:themeColor="text1"/>
              </w:rPr>
              <w:t>reintroduc</w:t>
            </w:r>
            <w:r>
              <w:rPr>
                <w:color w:val="000000" w:themeColor="text1"/>
              </w:rPr>
              <w:t>e</w:t>
            </w:r>
            <w:r w:rsidR="00F12B42" w:rsidRPr="00F12B42">
              <w:rPr>
                <w:color w:val="000000" w:themeColor="text1"/>
              </w:rPr>
              <w:t xml:space="preserve"> datele corecte </w:t>
            </w:r>
            <w:r w:rsidR="00580445">
              <w:rPr>
                <w:color w:val="000000" w:themeColor="text1"/>
              </w:rPr>
              <w:t>î</w:t>
            </w:r>
            <w:r w:rsidR="00F12B42" w:rsidRPr="00F12B42">
              <w:rPr>
                <w:color w:val="000000" w:themeColor="text1"/>
              </w:rPr>
              <w:t>n platforma informatic</w:t>
            </w:r>
            <w:r w:rsidR="00580445">
              <w:rPr>
                <w:color w:val="000000" w:themeColor="text1"/>
              </w:rPr>
              <w:t>ă</w:t>
            </w:r>
            <w:r w:rsidR="00F12B42" w:rsidRPr="00F12B42">
              <w:rPr>
                <w:color w:val="000000" w:themeColor="text1"/>
              </w:rPr>
              <w:t xml:space="preserve"> pus</w:t>
            </w:r>
            <w:r w:rsidR="00580445">
              <w:rPr>
                <w:color w:val="000000" w:themeColor="text1"/>
              </w:rPr>
              <w:t>ă</w:t>
            </w:r>
            <w:r w:rsidR="00F12B42" w:rsidRPr="00F12B42">
              <w:rPr>
                <w:color w:val="000000" w:themeColor="text1"/>
              </w:rPr>
              <w:t xml:space="preserve"> la dispozi</w:t>
            </w:r>
            <w:r w:rsidR="00580445">
              <w:rPr>
                <w:color w:val="000000" w:themeColor="text1"/>
              </w:rPr>
              <w:t>ț</w:t>
            </w:r>
            <w:r w:rsidR="00F12B42" w:rsidRPr="00F12B42">
              <w:rPr>
                <w:color w:val="000000" w:themeColor="text1"/>
              </w:rPr>
              <w:t>ie de c</w:t>
            </w:r>
            <w:r w:rsidR="00580445">
              <w:rPr>
                <w:color w:val="000000" w:themeColor="text1"/>
              </w:rPr>
              <w:t>ă</w:t>
            </w:r>
            <w:r w:rsidR="00F12B42" w:rsidRPr="00F12B42">
              <w:rPr>
                <w:color w:val="000000" w:themeColor="text1"/>
              </w:rPr>
              <w:t xml:space="preserve">tre </w:t>
            </w:r>
            <w:r>
              <w:rPr>
                <w:color w:val="000000" w:themeColor="text1"/>
              </w:rPr>
              <w:t xml:space="preserve">Autoritatea </w:t>
            </w:r>
            <w:r w:rsidRPr="00F12B42">
              <w:rPr>
                <w:color w:val="000000" w:themeColor="text1"/>
              </w:rPr>
              <w:t>Național</w:t>
            </w:r>
            <w:r>
              <w:rPr>
                <w:color w:val="000000" w:themeColor="text1"/>
              </w:rPr>
              <w:t>ă</w:t>
            </w:r>
            <w:r w:rsidRPr="00F12B42">
              <w:rPr>
                <w:color w:val="000000" w:themeColor="text1"/>
              </w:rPr>
              <w:t xml:space="preserve"> de Reglementare în domeniul Energiei</w:t>
            </w:r>
            <w:r>
              <w:rPr>
                <w:color w:val="000000" w:themeColor="text1"/>
              </w:rPr>
              <w:t>, î</w:t>
            </w:r>
            <w:r w:rsidR="00F12B42" w:rsidRPr="00F12B42">
              <w:rPr>
                <w:color w:val="000000" w:themeColor="text1"/>
              </w:rPr>
              <w:t>n acest fel debloc</w:t>
            </w:r>
            <w:r>
              <w:rPr>
                <w:color w:val="000000" w:themeColor="text1"/>
              </w:rPr>
              <w:t>â</w:t>
            </w:r>
            <w:r w:rsidR="00F12B42" w:rsidRPr="00F12B42">
              <w:rPr>
                <w:color w:val="000000" w:themeColor="text1"/>
              </w:rPr>
              <w:t>ndu-se procedurile de decontare.</w:t>
            </w:r>
          </w:p>
          <w:p w14:paraId="796E2AAF" w14:textId="009AECC4" w:rsidR="00D62451" w:rsidRDefault="00D62451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Totodată, </w:t>
            </w:r>
            <w:r w:rsidR="009D178D">
              <w:rPr>
                <w:color w:val="000000" w:themeColor="text1"/>
              </w:rPr>
              <w:t>așa cum rezultă din economia Ordonanței de urgență a Guvernului</w:t>
            </w:r>
            <w:r w:rsidR="009D178D" w:rsidRPr="002A5645">
              <w:rPr>
                <w:color w:val="000000" w:themeColor="text1"/>
              </w:rPr>
              <w:t xml:space="preserve"> </w:t>
            </w:r>
            <w:r w:rsidR="009D178D">
              <w:rPr>
                <w:color w:val="000000" w:themeColor="text1"/>
              </w:rPr>
              <w:t>nr. 27/2022, aceast</w:t>
            </w:r>
            <w:r w:rsidR="004565E2">
              <w:rPr>
                <w:color w:val="000000" w:themeColor="text1"/>
              </w:rPr>
              <w:t xml:space="preserve">a </w:t>
            </w:r>
            <w:r w:rsidR="009D178D">
              <w:rPr>
                <w:color w:val="000000" w:themeColor="text1"/>
              </w:rPr>
              <w:t>conține reglementări cu caracter tehnic precis, dispoziții aplicabile de la 1 aprilie 2022, astfel că în lipsa adoptării modificărilor propuse prin proiectul de ordonanța</w:t>
            </w:r>
            <w:r w:rsidR="004565E2">
              <w:rPr>
                <w:color w:val="000000" w:themeColor="text1"/>
              </w:rPr>
              <w:t xml:space="preserve"> de urgență</w:t>
            </w:r>
            <w:r w:rsidR="009D178D">
              <w:rPr>
                <w:color w:val="000000" w:themeColor="text1"/>
              </w:rPr>
              <w:t xml:space="preserve"> pentru modificarea Ordonanței de urgență a Guvernului</w:t>
            </w:r>
            <w:r w:rsidR="009D178D" w:rsidRPr="002A5645">
              <w:rPr>
                <w:color w:val="000000" w:themeColor="text1"/>
              </w:rPr>
              <w:t xml:space="preserve"> </w:t>
            </w:r>
            <w:r w:rsidR="009D178D">
              <w:rPr>
                <w:color w:val="000000" w:themeColor="text1"/>
              </w:rPr>
              <w:t xml:space="preserve">nr. 27/2022, s-ar </w:t>
            </w:r>
            <w:r w:rsidR="004565E2">
              <w:rPr>
                <w:color w:val="000000" w:themeColor="text1"/>
              </w:rPr>
              <w:t>ajunge în situația decontării unor valori diferite decât cele pentru care a fost intenția inițială a legiuitorului român.</w:t>
            </w:r>
          </w:p>
          <w:p w14:paraId="02752A5B" w14:textId="0C0852B5" w:rsidR="00C47584" w:rsidRDefault="004565E2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Astfel, s</w:t>
            </w:r>
            <w:r w:rsidR="008E7016">
              <w:rPr>
                <w:color w:val="000000" w:themeColor="text1"/>
              </w:rPr>
              <w:t>ub aspect tehnic</w:t>
            </w:r>
            <w:r>
              <w:rPr>
                <w:color w:val="000000" w:themeColor="text1"/>
              </w:rPr>
              <w:t xml:space="preserve"> și cu titlu de exemplu</w:t>
            </w:r>
            <w:r w:rsidR="008E7016">
              <w:rPr>
                <w:color w:val="000000" w:themeColor="text1"/>
              </w:rPr>
              <w:t xml:space="preserve">, lipsa introducerii acestor modificări la </w:t>
            </w:r>
            <w:r w:rsidR="00C47584">
              <w:rPr>
                <w:color w:val="000000" w:themeColor="text1"/>
              </w:rPr>
              <w:t xml:space="preserve">nivelul </w:t>
            </w:r>
            <w:r w:rsidR="008E7016">
              <w:rPr>
                <w:color w:val="000000" w:themeColor="text1"/>
              </w:rPr>
              <w:t>Ordonanței de urgență a Guvernului</w:t>
            </w:r>
            <w:r w:rsidR="008E7016" w:rsidRPr="002A5645">
              <w:rPr>
                <w:color w:val="000000" w:themeColor="text1"/>
              </w:rPr>
              <w:t xml:space="preserve"> </w:t>
            </w:r>
            <w:r w:rsidR="008E7016">
              <w:rPr>
                <w:color w:val="000000" w:themeColor="text1"/>
              </w:rPr>
              <w:t xml:space="preserve">nr. 27/2022 ar determina un mod de calcul diferit al </w:t>
            </w:r>
            <w:r w:rsidR="00C47584">
              <w:rPr>
                <w:color w:val="000000" w:themeColor="text1"/>
              </w:rPr>
              <w:t>indicatorului Q</w:t>
            </w:r>
            <w:r w:rsidR="00C47584">
              <w:rPr>
                <w:color w:val="000000" w:themeColor="text1"/>
                <w:vertAlign w:val="subscript"/>
              </w:rPr>
              <w:t>Pkc (furnizor i/PET j)</w:t>
            </w:r>
            <w:r w:rsidR="00C47584">
              <w:rPr>
                <w:color w:val="000000" w:themeColor="text1"/>
              </w:rPr>
              <w:t>, fapt care ar contraveni intenției inițiale a legiuitorului asupra modului de calcul al cantității de gaze naturale pe</w:t>
            </w:r>
            <w:r w:rsidR="009D178D">
              <w:rPr>
                <w:color w:val="000000" w:themeColor="text1"/>
              </w:rPr>
              <w:t>ntru</w:t>
            </w:r>
            <w:r w:rsidR="00C47584">
              <w:rPr>
                <w:color w:val="000000" w:themeColor="text1"/>
              </w:rPr>
              <w:t xml:space="preserve"> care fiecare producător are obligația să încheie contracte de vânzare-cumpărare cu furnizorii CC și PET/ PET client direct</w:t>
            </w:r>
            <w:r w:rsidR="009D178D">
              <w:rPr>
                <w:color w:val="000000" w:themeColor="text1"/>
              </w:rPr>
              <w:t xml:space="preserve">, astfel cum sunt definiți în </w:t>
            </w:r>
            <w:r>
              <w:rPr>
                <w:color w:val="000000" w:themeColor="text1"/>
              </w:rPr>
              <w:t>Ordonanța de urgență a Guvernului</w:t>
            </w:r>
            <w:r w:rsidRPr="002A5645">
              <w:rPr>
                <w:color w:val="000000" w:themeColor="text1"/>
              </w:rPr>
              <w:t xml:space="preserve"> nr. </w:t>
            </w:r>
            <w:r w:rsidR="009D178D">
              <w:rPr>
                <w:color w:val="000000" w:themeColor="text1"/>
              </w:rPr>
              <w:t>27/2022,</w:t>
            </w:r>
            <w:r w:rsidR="00C47584">
              <w:rPr>
                <w:color w:val="000000" w:themeColor="text1"/>
              </w:rPr>
              <w:t xml:space="preserve"> pentru gazele naturale destinate consumului CC și PET</w:t>
            </w:r>
            <w:r>
              <w:rPr>
                <w:color w:val="000000" w:themeColor="text1"/>
              </w:rPr>
              <w:t>, respectiv cu impact direct asupra acestora</w:t>
            </w:r>
            <w:r w:rsidR="00FA62D6">
              <w:rPr>
                <w:color w:val="000000" w:themeColor="text1"/>
              </w:rPr>
              <w:t xml:space="preserve"> și a întregii piețe din domeniul energetic</w:t>
            </w:r>
            <w:r>
              <w:rPr>
                <w:color w:val="000000" w:themeColor="text1"/>
              </w:rPr>
              <w:t>.</w:t>
            </w:r>
          </w:p>
          <w:p w14:paraId="744A497A" w14:textId="594D84A5" w:rsidR="008C248E" w:rsidRDefault="008C248E" w:rsidP="00822F5D">
            <w:pPr>
              <w:spacing w:line="276" w:lineRule="auto"/>
              <w:jc w:val="both"/>
            </w:pPr>
            <w:bookmarkStart w:id="1" w:name="_Hlk100064339"/>
            <w:r>
              <w:lastRenderedPageBreak/>
              <w:t>N</w:t>
            </w:r>
            <w:r w:rsidRPr="00B715FF">
              <w:t>eadoptarea măsurilor propuse prin prezentul proiect de act normativ creează dificultăți majore în aplicarea măsurilor de sprijin propuse atât de către autoritățile competente cât și de către operatorii economici implicați</w:t>
            </w:r>
            <w:r>
              <w:t>.</w:t>
            </w:r>
          </w:p>
          <w:p w14:paraId="3CA5B6BC" w14:textId="1D021A8B" w:rsidR="008C248E" w:rsidRDefault="008C248E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t>Î</w:t>
            </w:r>
            <w:r w:rsidRPr="00B715FF">
              <w:t>n lipsa modificărilor propuse asupra anexelor la OUG nr. 27/2022, formulele de calcul incidente nu vor putea fi aplicate</w:t>
            </w:r>
            <w:r>
              <w:t xml:space="preserve"> corespunzător</w:t>
            </w:r>
            <w:r w:rsidRPr="00B715FF">
              <w:t xml:space="preserve">, </w:t>
            </w:r>
            <w:r>
              <w:t xml:space="preserve">generând </w:t>
            </w:r>
            <w:r w:rsidRPr="00B715FF">
              <w:t>imposibilitatea</w:t>
            </w:r>
            <w:r>
              <w:t xml:space="preserve"> determinării</w:t>
            </w:r>
            <w:r w:rsidRPr="00B715FF">
              <w:t xml:space="preserve"> cantităților de gaze naturale</w:t>
            </w:r>
            <w:r>
              <w:t xml:space="preserve"> reprezentând necesarul de consum </w:t>
            </w:r>
            <w:r w:rsidRPr="00B715FF">
              <w:t xml:space="preserve"> </w:t>
            </w:r>
            <w:r>
              <w:t>pentru clienții casnici, precum și pentru producătorii de energie termică destinată populației</w:t>
            </w:r>
            <w:bookmarkEnd w:id="1"/>
            <w:r>
              <w:t>.</w:t>
            </w:r>
          </w:p>
          <w:bookmarkEnd w:id="0"/>
          <w:p w14:paraId="086006C9" w14:textId="108CEA8C" w:rsidR="00D446A5" w:rsidRPr="00E66E8C" w:rsidRDefault="00111CF6" w:rsidP="00822F5D">
            <w:pPr>
              <w:spacing w:line="276" w:lineRule="auto"/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A</w:t>
            </w:r>
            <w:r w:rsidR="00B6221F" w:rsidRPr="00E66E8C">
              <w:rPr>
                <w:color w:val="000000" w:themeColor="text1"/>
              </w:rPr>
              <w:t xml:space="preserve">ceste elemente vizează interesul general public </w:t>
            </w:r>
            <w:r w:rsidR="00FA2EB4" w:rsidRPr="00E66E8C">
              <w:rPr>
                <w:color w:val="000000" w:themeColor="text1"/>
              </w:rPr>
              <w:t>ș</w:t>
            </w:r>
            <w:r w:rsidR="00B6221F" w:rsidRPr="00E66E8C">
              <w:rPr>
                <w:color w:val="000000" w:themeColor="text1"/>
              </w:rPr>
              <w:t>i constituie o situa</w:t>
            </w:r>
            <w:r w:rsidR="00FA2EB4" w:rsidRPr="00E66E8C">
              <w:rPr>
                <w:color w:val="000000" w:themeColor="text1"/>
              </w:rPr>
              <w:t>ț</w:t>
            </w:r>
            <w:r w:rsidR="00B6221F" w:rsidRPr="00E66E8C">
              <w:rPr>
                <w:color w:val="000000" w:themeColor="text1"/>
              </w:rPr>
              <w:t>ie extraordinară, a cărei reglementare nu poate fi amânată</w:t>
            </w:r>
            <w:r w:rsidRPr="00E66E8C">
              <w:rPr>
                <w:color w:val="000000" w:themeColor="text1"/>
              </w:rPr>
              <w:t xml:space="preserve">, dat fiind </w:t>
            </w:r>
            <w:r w:rsidR="00022BDA" w:rsidRPr="00E66E8C">
              <w:rPr>
                <w:color w:val="000000" w:themeColor="text1"/>
              </w:rPr>
              <w:t xml:space="preserve">faptul că </w:t>
            </w:r>
            <w:r w:rsidR="00163A19">
              <w:rPr>
                <w:color w:val="000000" w:themeColor="text1"/>
              </w:rPr>
              <w:t>Ordonanța de urgență a Guvernului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="00022BDA" w:rsidRPr="00E66E8C">
              <w:rPr>
                <w:color w:val="000000" w:themeColor="text1"/>
              </w:rPr>
              <w:t>nr. 27/2022 (actul de bază) intră în vigoare la data de 1 aprilie 2022</w:t>
            </w:r>
            <w:r w:rsidR="004C19EB">
              <w:rPr>
                <w:color w:val="000000" w:themeColor="text1"/>
              </w:rPr>
              <w:t>,</w:t>
            </w:r>
            <w:r w:rsidR="00022BDA" w:rsidRPr="00E66E8C">
              <w:rPr>
                <w:color w:val="000000" w:themeColor="text1"/>
              </w:rPr>
              <w:t xml:space="preserve"> precum și </w:t>
            </w:r>
            <w:r w:rsidRPr="00E66E8C">
              <w:rPr>
                <w:color w:val="000000" w:themeColor="text1"/>
              </w:rPr>
              <w:t>efectul pe care pre</w:t>
            </w:r>
            <w:r w:rsidR="00D17700" w:rsidRPr="00E66E8C">
              <w:rPr>
                <w:color w:val="000000" w:themeColor="text1"/>
              </w:rPr>
              <w:t>ț</w:t>
            </w:r>
            <w:r w:rsidRPr="00E66E8C">
              <w:rPr>
                <w:color w:val="000000" w:themeColor="text1"/>
              </w:rPr>
              <w:t>urile crescute la energie electric</w:t>
            </w:r>
            <w:r w:rsidR="00D17700" w:rsidRPr="00E66E8C">
              <w:rPr>
                <w:color w:val="000000" w:themeColor="text1"/>
              </w:rPr>
              <w:t>ă</w:t>
            </w:r>
            <w:r w:rsidRPr="00E66E8C">
              <w:rPr>
                <w:color w:val="000000" w:themeColor="text1"/>
              </w:rPr>
              <w:t xml:space="preserve"> </w:t>
            </w:r>
            <w:r w:rsidR="00D17700" w:rsidRPr="00E66E8C">
              <w:rPr>
                <w:color w:val="000000" w:themeColor="text1"/>
              </w:rPr>
              <w:t>ș</w:t>
            </w:r>
            <w:r w:rsidRPr="00E66E8C">
              <w:rPr>
                <w:color w:val="000000" w:themeColor="text1"/>
              </w:rPr>
              <w:t xml:space="preserve">i gaze naturale </w:t>
            </w:r>
            <w:r w:rsidR="00D17700" w:rsidRPr="00E66E8C">
              <w:rPr>
                <w:color w:val="000000" w:themeColor="text1"/>
              </w:rPr>
              <w:t>î</w:t>
            </w:r>
            <w:r w:rsidRPr="00E66E8C">
              <w:rPr>
                <w:color w:val="000000" w:themeColor="text1"/>
              </w:rPr>
              <w:t>l au asupra</w:t>
            </w:r>
            <w:r w:rsidR="00AA66C4" w:rsidRPr="00E66E8C">
              <w:rPr>
                <w:color w:val="000000" w:themeColor="text1"/>
              </w:rPr>
              <w:t xml:space="preserve"> vie</w:t>
            </w:r>
            <w:r w:rsidR="00D17700" w:rsidRPr="00E66E8C">
              <w:rPr>
                <w:color w:val="000000" w:themeColor="text1"/>
              </w:rPr>
              <w:t>ț</w:t>
            </w:r>
            <w:r w:rsidR="00AA66C4" w:rsidRPr="00E66E8C">
              <w:rPr>
                <w:color w:val="000000" w:themeColor="text1"/>
              </w:rPr>
              <w:t xml:space="preserve">ii </w:t>
            </w:r>
            <w:r w:rsidR="00D17700" w:rsidRPr="00E66E8C">
              <w:rPr>
                <w:color w:val="000000" w:themeColor="text1"/>
              </w:rPr>
              <w:t>ș</w:t>
            </w:r>
            <w:r w:rsidR="00AA66C4" w:rsidRPr="00E66E8C">
              <w:rPr>
                <w:color w:val="000000" w:themeColor="text1"/>
              </w:rPr>
              <w:t>i activit</w:t>
            </w:r>
            <w:r w:rsidR="00D17700" w:rsidRPr="00E66E8C">
              <w:rPr>
                <w:color w:val="000000" w:themeColor="text1"/>
              </w:rPr>
              <w:t>ăț</w:t>
            </w:r>
            <w:r w:rsidR="00AA66C4" w:rsidRPr="00E66E8C">
              <w:rPr>
                <w:color w:val="000000" w:themeColor="text1"/>
              </w:rPr>
              <w:t>ii de zi cu zi a tuturor consumatorilor</w:t>
            </w:r>
            <w:r w:rsidRPr="00E66E8C">
              <w:rPr>
                <w:color w:val="000000" w:themeColor="text1"/>
              </w:rPr>
              <w:t>.</w:t>
            </w:r>
          </w:p>
        </w:tc>
      </w:tr>
      <w:tr w:rsidR="009A649C" w:rsidRPr="00E66E8C" w14:paraId="39F8278C" w14:textId="77777777" w:rsidTr="00A411DC">
        <w:tc>
          <w:tcPr>
            <w:tcW w:w="2898" w:type="dxa"/>
          </w:tcPr>
          <w:p w14:paraId="45230B87" w14:textId="77777777" w:rsidR="006827C9" w:rsidRPr="00E66E8C" w:rsidRDefault="000E7826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lastRenderedPageBreak/>
              <w:t>2. Schimbări preconizate</w:t>
            </w:r>
          </w:p>
        </w:tc>
        <w:tc>
          <w:tcPr>
            <w:tcW w:w="7020" w:type="dxa"/>
            <w:gridSpan w:val="7"/>
          </w:tcPr>
          <w:p w14:paraId="5B3E2F1D" w14:textId="5BB0F131" w:rsidR="00111CF6" w:rsidRDefault="0021055F" w:rsidP="009A649C">
            <w:pPr>
              <w:autoSpaceDE w:val="0"/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Prezentul act normativ are drept scop </w:t>
            </w:r>
            <w:r w:rsidR="00184AAE" w:rsidRPr="00E66E8C">
              <w:rPr>
                <w:color w:val="000000" w:themeColor="text1"/>
              </w:rPr>
              <w:t xml:space="preserve">modificarea și clarificarea </w:t>
            </w:r>
            <w:r w:rsidR="00B62E02" w:rsidRPr="00E66E8C">
              <w:rPr>
                <w:color w:val="000000" w:themeColor="text1"/>
              </w:rPr>
              <w:t>măsuril</w:t>
            </w:r>
            <w:r w:rsidR="00184AAE" w:rsidRPr="00E66E8C">
              <w:rPr>
                <w:color w:val="000000" w:themeColor="text1"/>
              </w:rPr>
              <w:t>or</w:t>
            </w:r>
            <w:r w:rsidR="00B62E02" w:rsidRPr="00E66E8C">
              <w:rPr>
                <w:color w:val="000000" w:themeColor="text1"/>
              </w:rPr>
              <w:t xml:space="preserve"> aplicabile clienților finali din piața de energie electrică și gaze naturale</w:t>
            </w:r>
            <w:r w:rsidR="000C5805" w:rsidRPr="00E66E8C">
              <w:rPr>
                <w:color w:val="000000" w:themeColor="text1"/>
              </w:rPr>
              <w:t xml:space="preserve">, precum și producătorilor de energiei electrică </w:t>
            </w:r>
            <w:r w:rsidR="004C19EB">
              <w:rPr>
                <w:color w:val="000000" w:themeColor="text1"/>
              </w:rPr>
              <w:t>ș</w:t>
            </w:r>
            <w:r w:rsidR="008D28DA" w:rsidRPr="00E66E8C">
              <w:rPr>
                <w:color w:val="000000" w:themeColor="text1"/>
              </w:rPr>
              <w:t>i gaze naturale</w:t>
            </w:r>
            <w:r w:rsidR="00B62E02" w:rsidRPr="00E66E8C">
              <w:rPr>
                <w:color w:val="000000" w:themeColor="text1"/>
              </w:rPr>
              <w:t xml:space="preserve"> în perioada 1 aprilie 2022 – 31 martie 2023</w:t>
            </w:r>
            <w:r w:rsidR="00AA66C4" w:rsidRPr="00E66E8C">
              <w:rPr>
                <w:color w:val="000000" w:themeColor="text1"/>
              </w:rPr>
              <w:t xml:space="preserve"> </w:t>
            </w:r>
            <w:r w:rsidR="003F71DF" w:rsidRPr="00E66E8C">
              <w:rPr>
                <w:color w:val="000000" w:themeColor="text1"/>
              </w:rPr>
              <w:t>î</w:t>
            </w:r>
            <w:r w:rsidR="00AA66C4" w:rsidRPr="00E66E8C">
              <w:rPr>
                <w:color w:val="000000" w:themeColor="text1"/>
              </w:rPr>
              <w:t>n sensul</w:t>
            </w:r>
            <w:r w:rsidR="00E63DB2" w:rsidRPr="00E66E8C">
              <w:rPr>
                <w:color w:val="000000" w:themeColor="text1"/>
              </w:rPr>
              <w:t>:</w:t>
            </w:r>
          </w:p>
          <w:p w14:paraId="463FF1E0" w14:textId="394E2919" w:rsidR="00184AAE" w:rsidRDefault="00184AAE" w:rsidP="009A649C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  <w:r w:rsidRPr="00E66E8C">
              <w:rPr>
                <w:color w:val="000000" w:themeColor="text1"/>
              </w:rPr>
              <w:t>- clarificării noțiunii de „furnizor”</w:t>
            </w:r>
            <w:r w:rsidR="00511316" w:rsidRPr="00E66E8C">
              <w:rPr>
                <w:color w:val="000000" w:themeColor="text1"/>
              </w:rPr>
              <w:t xml:space="preserve"> prin modificarea art. 23 alin. (2) și, pe cale de consecință, înlocuirea în întreg textul ordonanței de urgență a sintagmelor </w:t>
            </w:r>
            <w:r w:rsidR="00511316" w:rsidRPr="00E66E8C">
              <w:rPr>
                <w:bCs/>
                <w:iCs/>
                <w:color w:val="000000" w:themeColor="text1"/>
              </w:rPr>
              <w:t>„furnizor/operator de distribuție de energie electrică care asigură revânzarea energiei electrice” și „furnizorii/operatorii de distribuție de energie electrică care asigură revânzarea energiei electrice” cu „furnizor”, respectiv „furnizori” în vederea evitării confuziilor;</w:t>
            </w:r>
          </w:p>
          <w:p w14:paraId="57D3C401" w14:textId="17EC7E63" w:rsidR="00361DE7" w:rsidRDefault="00361DE7" w:rsidP="009A649C">
            <w:pPr>
              <w:autoSpaceDE w:val="0"/>
              <w:jc w:val="both"/>
              <w:rPr>
                <w:bCs/>
                <w:iCs/>
                <w:color w:val="000000" w:themeColor="text1"/>
                <w:lang w:val="en-US"/>
              </w:rPr>
            </w:pPr>
            <w:r w:rsidRPr="00E66E8C">
              <w:rPr>
                <w:bCs/>
                <w:iCs/>
                <w:color w:val="000000" w:themeColor="text1"/>
              </w:rPr>
              <w:t>- modificarea art. 1 alin. (2) lit. b) pentru a nu crea un tratament discriminatoriu între clienții casnici de gaze naturale care</w:t>
            </w:r>
            <w:r w:rsidR="00FC5F49">
              <w:rPr>
                <w:bCs/>
                <w:iCs/>
                <w:color w:val="000000" w:themeColor="text1"/>
              </w:rPr>
              <w:t>,</w:t>
            </w:r>
            <w:r w:rsidRPr="00E66E8C">
              <w:rPr>
                <w:bCs/>
                <w:iCs/>
                <w:color w:val="000000" w:themeColor="text1"/>
              </w:rPr>
              <w:t xml:space="preserve"> în perioada 1 aprilie-31 octombrie 2022</w:t>
            </w:r>
            <w:r w:rsidR="00FC5F49">
              <w:rPr>
                <w:bCs/>
                <w:iCs/>
                <w:color w:val="000000" w:themeColor="text1"/>
              </w:rPr>
              <w:t>,</w:t>
            </w:r>
            <w:r w:rsidRPr="00E66E8C">
              <w:rPr>
                <w:bCs/>
                <w:iCs/>
                <w:color w:val="000000" w:themeColor="text1"/>
              </w:rPr>
              <w:t xml:space="preserve"> beneficiază de un preț plafonat, scopul utilizării gazelor naturale fiind în principal </w:t>
            </w:r>
            <w:r w:rsidRPr="00E66E8C">
              <w:rPr>
                <w:b/>
                <w:bCs/>
                <w:iCs/>
                <w:color w:val="000000" w:themeColor="text1"/>
              </w:rPr>
              <w:t>prepararea apei calde</w:t>
            </w:r>
            <w:r w:rsidRPr="00E66E8C">
              <w:rPr>
                <w:bCs/>
                <w:iCs/>
                <w:color w:val="000000" w:themeColor="text1"/>
              </w:rPr>
              <w:t xml:space="preserve"> și clienții </w:t>
            </w:r>
            <w:r w:rsidR="00FC5F49">
              <w:rPr>
                <w:bCs/>
                <w:iCs/>
                <w:color w:val="000000" w:themeColor="text1"/>
              </w:rPr>
              <w:t xml:space="preserve">casnici ai </w:t>
            </w:r>
            <w:r w:rsidRPr="00E66E8C">
              <w:rPr>
                <w:bCs/>
                <w:iCs/>
                <w:color w:val="000000" w:themeColor="text1"/>
              </w:rPr>
              <w:t>sistemelor de încălzire termice centralizat</w:t>
            </w:r>
            <w:r w:rsidR="00FC5F49">
              <w:rPr>
                <w:bCs/>
                <w:iCs/>
                <w:color w:val="000000" w:themeColor="text1"/>
              </w:rPr>
              <w:t>ă care,</w:t>
            </w:r>
            <w:r w:rsidRPr="00E66E8C">
              <w:rPr>
                <w:bCs/>
                <w:iCs/>
                <w:color w:val="000000" w:themeColor="text1"/>
              </w:rPr>
              <w:t xml:space="preserve"> urmare faptului că producătorii de energie termică </w:t>
            </w:r>
            <w:r w:rsidR="00FC5F49" w:rsidRPr="00E66E8C">
              <w:rPr>
                <w:bCs/>
                <w:iCs/>
                <w:color w:val="000000" w:themeColor="text1"/>
              </w:rPr>
              <w:t xml:space="preserve">nu beneficiază de nicio schemă </w:t>
            </w:r>
            <w:r w:rsidR="00FC5F49">
              <w:rPr>
                <w:bCs/>
                <w:iCs/>
                <w:color w:val="000000" w:themeColor="text1"/>
              </w:rPr>
              <w:t xml:space="preserve">de sprijin </w:t>
            </w:r>
            <w:r w:rsidR="00FC5F49" w:rsidRPr="00E66E8C">
              <w:rPr>
                <w:bCs/>
                <w:iCs/>
                <w:color w:val="000000" w:themeColor="text1"/>
              </w:rPr>
              <w:t xml:space="preserve">în aceeași perioadă </w:t>
            </w:r>
            <w:r w:rsidRPr="00E66E8C">
              <w:rPr>
                <w:bCs/>
                <w:iCs/>
                <w:color w:val="000000" w:themeColor="text1"/>
              </w:rPr>
              <w:t>pentru cantitatea de gaze naturale destinată consumului populației</w:t>
            </w:r>
            <w:r w:rsidR="00FC5F49">
              <w:rPr>
                <w:bCs/>
                <w:iCs/>
                <w:color w:val="000000" w:themeColor="text1"/>
              </w:rPr>
              <w:t>,</w:t>
            </w:r>
            <w:r w:rsidRPr="00E66E8C">
              <w:rPr>
                <w:bCs/>
                <w:iCs/>
                <w:color w:val="000000" w:themeColor="text1"/>
              </w:rPr>
              <w:t xml:space="preserve"> vor </w:t>
            </w:r>
            <w:r w:rsidR="00FC5F49">
              <w:rPr>
                <w:bCs/>
                <w:iCs/>
                <w:color w:val="000000" w:themeColor="text1"/>
              </w:rPr>
              <w:t xml:space="preserve">trebui să </w:t>
            </w:r>
            <w:r w:rsidRPr="00E66E8C">
              <w:rPr>
                <w:bCs/>
                <w:iCs/>
                <w:color w:val="000000" w:themeColor="text1"/>
              </w:rPr>
              <w:t>achizițion</w:t>
            </w:r>
            <w:r w:rsidR="00FC5F49">
              <w:rPr>
                <w:bCs/>
                <w:iCs/>
                <w:color w:val="000000" w:themeColor="text1"/>
              </w:rPr>
              <w:t>eze</w:t>
            </w:r>
            <w:r w:rsidRPr="00E66E8C">
              <w:rPr>
                <w:bCs/>
                <w:iCs/>
                <w:color w:val="000000" w:themeColor="text1"/>
              </w:rPr>
              <w:t xml:space="preserve"> gazele naturale la prețul pieței</w:t>
            </w:r>
            <w:r w:rsidR="00FC5F49">
              <w:rPr>
                <w:bCs/>
                <w:iCs/>
                <w:color w:val="000000" w:themeColor="text1"/>
              </w:rPr>
              <w:t>,</w:t>
            </w:r>
            <w:r w:rsidRPr="00E66E8C">
              <w:rPr>
                <w:bCs/>
                <w:iCs/>
                <w:color w:val="000000" w:themeColor="text1"/>
              </w:rPr>
              <w:t xml:space="preserve"> costul acestora regăsindu-se în prețul plătit de către clienții</w:t>
            </w:r>
            <w:r w:rsidR="00AD598A" w:rsidRPr="00E66E8C">
              <w:rPr>
                <w:bCs/>
                <w:iCs/>
                <w:color w:val="000000" w:themeColor="text1"/>
              </w:rPr>
              <w:t>;</w:t>
            </w:r>
            <w:r w:rsidR="00FC5F49">
              <w:rPr>
                <w:bCs/>
                <w:iCs/>
                <w:color w:val="000000" w:themeColor="text1"/>
              </w:rPr>
              <w:t xml:space="preserve"> de asemenea, în forma actuală a </w:t>
            </w:r>
            <w:r w:rsidR="00FC5F49">
              <w:rPr>
                <w:color w:val="000000" w:themeColor="text1"/>
              </w:rPr>
              <w:t>Ordonanței de urgență a Guvernului</w:t>
            </w:r>
            <w:r w:rsidR="00FC5F49" w:rsidRPr="002A5645">
              <w:rPr>
                <w:color w:val="000000" w:themeColor="text1"/>
              </w:rPr>
              <w:t xml:space="preserve"> </w:t>
            </w:r>
            <w:r w:rsidR="00FC5F49" w:rsidRPr="00E66E8C">
              <w:rPr>
                <w:bCs/>
                <w:iCs/>
                <w:color w:val="000000" w:themeColor="text1"/>
              </w:rPr>
              <w:t>nr. 27/2022</w:t>
            </w:r>
            <w:r w:rsidR="00FC5F49">
              <w:rPr>
                <w:bCs/>
                <w:iCs/>
                <w:color w:val="000000" w:themeColor="text1"/>
              </w:rPr>
              <w:t xml:space="preserve"> este inclusă o schemă de plafonare </w:t>
            </w:r>
            <w:r w:rsidR="001621C0">
              <w:rPr>
                <w:bCs/>
                <w:iCs/>
                <w:color w:val="000000" w:themeColor="text1"/>
              </w:rPr>
              <w:t xml:space="preserve">pentru gazele naturale utilizate de producătorii de energie termică destinată consumului altor clienți decât cei casnici, ceea ce constituie un tratament diferențiat aplicat clienților casnici față de cei noncasnici </w:t>
            </w:r>
            <w:r w:rsidR="004C19EB">
              <w:rPr>
                <w:bCs/>
                <w:iCs/>
                <w:color w:val="000000" w:themeColor="text1"/>
              </w:rPr>
              <w:t>î</w:t>
            </w:r>
            <w:r w:rsidR="001621C0">
              <w:rPr>
                <w:bCs/>
                <w:iCs/>
                <w:color w:val="000000" w:themeColor="text1"/>
              </w:rPr>
              <w:t>n privința energiei termice consumate pe perioada de var</w:t>
            </w:r>
            <w:r w:rsidR="004C19EB">
              <w:rPr>
                <w:bCs/>
                <w:iCs/>
                <w:color w:val="000000" w:themeColor="text1"/>
              </w:rPr>
              <w:t>ă</w:t>
            </w:r>
            <w:r w:rsidR="001621C0">
              <w:rPr>
                <w:bCs/>
                <w:iCs/>
                <w:color w:val="000000" w:themeColor="text1"/>
              </w:rPr>
              <w:t xml:space="preserve"> sub forma apei calde, în principal. O eventual</w:t>
            </w:r>
            <w:r w:rsidR="00DA73F0">
              <w:rPr>
                <w:bCs/>
                <w:iCs/>
                <w:color w:val="000000" w:themeColor="text1"/>
              </w:rPr>
              <w:t>ă</w:t>
            </w:r>
            <w:r w:rsidR="001621C0">
              <w:rPr>
                <w:bCs/>
                <w:iCs/>
                <w:color w:val="000000" w:themeColor="text1"/>
              </w:rPr>
              <w:t xml:space="preserve"> eliminare a referirilor la producătorii de energie termică în cadrul schemei de plafonare introduse la </w:t>
            </w:r>
            <w:r w:rsidR="001621C0" w:rsidRPr="00E66E8C">
              <w:rPr>
                <w:bCs/>
                <w:iCs/>
                <w:color w:val="000000" w:themeColor="text1"/>
              </w:rPr>
              <w:t>art. 1 alin. (2) lit. b)</w:t>
            </w:r>
            <w:r w:rsidR="001621C0">
              <w:rPr>
                <w:bCs/>
                <w:iCs/>
                <w:color w:val="000000" w:themeColor="text1"/>
              </w:rPr>
              <w:t xml:space="preserve"> ar crea însă o discriminare față de clienții noncasnici care, conform actualei ordonanțe de urgență, în vigoare, au </w:t>
            </w:r>
            <w:r w:rsidR="00DA73F0">
              <w:rPr>
                <w:bCs/>
                <w:iCs/>
                <w:color w:val="000000" w:themeColor="text1"/>
              </w:rPr>
              <w:t>dreptul de a beneficia de preț plafonat pentru producerea energiei termice pe care o consumă, sub formă de abur și</w:t>
            </w:r>
            <w:r w:rsidR="00DA73F0">
              <w:rPr>
                <w:bCs/>
                <w:iCs/>
                <w:color w:val="000000" w:themeColor="text1"/>
                <w:lang w:val="en-US"/>
              </w:rPr>
              <w:t>/</w:t>
            </w:r>
            <w:r w:rsidR="00DA73F0">
              <w:rPr>
                <w:bCs/>
                <w:iCs/>
                <w:color w:val="000000" w:themeColor="text1"/>
              </w:rPr>
              <w:t>sau apă caldă</w:t>
            </w:r>
            <w:r w:rsidR="00DA73F0">
              <w:rPr>
                <w:bCs/>
                <w:iCs/>
                <w:color w:val="000000" w:themeColor="text1"/>
                <w:lang w:val="en-US"/>
              </w:rPr>
              <w:t>;</w:t>
            </w:r>
          </w:p>
          <w:p w14:paraId="62BA41E8" w14:textId="77777777" w:rsidR="000A1CCA" w:rsidRPr="0013234A" w:rsidRDefault="000A1CCA" w:rsidP="009A649C">
            <w:pPr>
              <w:autoSpaceDE w:val="0"/>
              <w:jc w:val="both"/>
              <w:rPr>
                <w:bCs/>
                <w:iCs/>
                <w:color w:val="000000" w:themeColor="text1"/>
                <w:lang w:val="en-US"/>
              </w:rPr>
            </w:pPr>
          </w:p>
          <w:p w14:paraId="3D090679" w14:textId="1E7F5619" w:rsidR="00724619" w:rsidRDefault="00724619" w:rsidP="009A649C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  <w:r w:rsidRPr="00E66E8C">
              <w:rPr>
                <w:bCs/>
                <w:iCs/>
                <w:color w:val="000000" w:themeColor="text1"/>
              </w:rPr>
              <w:lastRenderedPageBreak/>
              <w:t>- clarificării căror operatori economici nu li se aplic</w:t>
            </w:r>
            <w:r w:rsidR="00AD598A" w:rsidRPr="00E66E8C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 plafonarea stabilită conform prevederilor art. 1 alin. (1) lit. c) </w:t>
            </w:r>
            <w:r w:rsidR="00AD598A" w:rsidRPr="00E66E8C">
              <w:rPr>
                <w:bCs/>
                <w:iCs/>
                <w:color w:val="000000" w:themeColor="text1"/>
              </w:rPr>
              <w:t xml:space="preserve">din </w:t>
            </w:r>
            <w:r w:rsidR="00163A19">
              <w:rPr>
                <w:color w:val="000000" w:themeColor="text1"/>
              </w:rPr>
              <w:t>Ordonanța de urgență a Guvernului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="00AD598A" w:rsidRPr="00E66E8C">
              <w:rPr>
                <w:bCs/>
                <w:iCs/>
                <w:color w:val="000000" w:themeColor="text1"/>
              </w:rPr>
              <w:t xml:space="preserve">nr. 27/2022 </w:t>
            </w:r>
            <w:r w:rsidRPr="00E66E8C">
              <w:rPr>
                <w:bCs/>
                <w:iCs/>
                <w:color w:val="000000" w:themeColor="text1"/>
              </w:rPr>
              <w:t>prin modificarea art. 1 alin. (8)</w:t>
            </w:r>
            <w:r w:rsidR="00AD598A" w:rsidRPr="00E66E8C">
              <w:rPr>
                <w:bCs/>
                <w:iCs/>
                <w:color w:val="000000" w:themeColor="text1"/>
              </w:rPr>
              <w:t xml:space="preserve"> din </w:t>
            </w:r>
            <w:r w:rsidR="00163A19">
              <w:rPr>
                <w:color w:val="000000" w:themeColor="text1"/>
              </w:rPr>
              <w:t>Ordonanța de urgență a Guve</w:t>
            </w:r>
            <w:bookmarkStart w:id="2" w:name="_GoBack"/>
            <w:bookmarkEnd w:id="2"/>
            <w:r w:rsidR="00163A19">
              <w:rPr>
                <w:color w:val="000000" w:themeColor="text1"/>
              </w:rPr>
              <w:t>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="00AD598A" w:rsidRPr="00E66E8C">
              <w:rPr>
                <w:bCs/>
                <w:iCs/>
                <w:color w:val="000000" w:themeColor="text1"/>
              </w:rPr>
              <w:t>nr. 27/2022</w:t>
            </w:r>
            <w:r w:rsidR="00361DE7" w:rsidRPr="00E66E8C">
              <w:rPr>
                <w:bCs/>
                <w:iCs/>
                <w:color w:val="000000" w:themeColor="text1"/>
              </w:rPr>
              <w:t xml:space="preserve">, pentru a se asigura </w:t>
            </w:r>
            <w:r w:rsidR="004C19EB">
              <w:rPr>
                <w:bCs/>
                <w:iCs/>
                <w:color w:val="000000" w:themeColor="text1"/>
              </w:rPr>
              <w:t>ș</w:t>
            </w:r>
            <w:r w:rsidR="00361DE7" w:rsidRPr="00E66E8C">
              <w:rPr>
                <w:bCs/>
                <w:iCs/>
                <w:color w:val="000000" w:themeColor="text1"/>
              </w:rPr>
              <w:t xml:space="preserve">i </w:t>
            </w:r>
            <w:r w:rsidR="004C19EB">
              <w:rPr>
                <w:bCs/>
                <w:iCs/>
                <w:color w:val="000000" w:themeColor="text1"/>
              </w:rPr>
              <w:t>î</w:t>
            </w:r>
            <w:r w:rsidR="00361DE7" w:rsidRPr="00E66E8C">
              <w:rPr>
                <w:bCs/>
                <w:iCs/>
                <w:color w:val="000000" w:themeColor="text1"/>
              </w:rPr>
              <w:t xml:space="preserve">n cazul clienților finali care fac investiții </w:t>
            </w:r>
            <w:r w:rsidR="004C19EB">
              <w:rPr>
                <w:bCs/>
                <w:iCs/>
                <w:color w:val="000000" w:themeColor="text1"/>
              </w:rPr>
              <w:t>î</w:t>
            </w:r>
            <w:r w:rsidR="00361DE7" w:rsidRPr="00E66E8C">
              <w:rPr>
                <w:bCs/>
                <w:iCs/>
                <w:color w:val="000000" w:themeColor="text1"/>
              </w:rPr>
              <w:t>n producerea de energie electric</w:t>
            </w:r>
            <w:r w:rsidR="004C19EB">
              <w:rPr>
                <w:bCs/>
                <w:iCs/>
                <w:color w:val="000000" w:themeColor="text1"/>
              </w:rPr>
              <w:t>ă</w:t>
            </w:r>
            <w:r w:rsidR="00361DE7" w:rsidRPr="00E66E8C">
              <w:rPr>
                <w:bCs/>
                <w:iCs/>
                <w:color w:val="000000" w:themeColor="text1"/>
              </w:rPr>
              <w:t xml:space="preserve"> aplicarea prețului plafonat. In condițiile </w:t>
            </w:r>
            <w:r w:rsidR="004C19EB">
              <w:rPr>
                <w:bCs/>
                <w:iCs/>
                <w:color w:val="000000" w:themeColor="text1"/>
              </w:rPr>
              <w:t>î</w:t>
            </w:r>
            <w:r w:rsidR="00361DE7" w:rsidRPr="00E66E8C">
              <w:rPr>
                <w:bCs/>
                <w:iCs/>
                <w:color w:val="000000" w:themeColor="text1"/>
              </w:rPr>
              <w:t xml:space="preserve">n care clienții finali au licență de producători pot fi asimilați producătorilor </w:t>
            </w:r>
            <w:r w:rsidR="00006814">
              <w:rPr>
                <w:bCs/>
                <w:iCs/>
                <w:color w:val="000000" w:themeColor="text1"/>
              </w:rPr>
              <w:t>ș</w:t>
            </w:r>
            <w:r w:rsidR="00361DE7" w:rsidRPr="00E66E8C">
              <w:rPr>
                <w:bCs/>
                <w:iCs/>
                <w:color w:val="000000" w:themeColor="text1"/>
              </w:rPr>
              <w:t>i nu mai beneficiază de schema.</w:t>
            </w:r>
            <w:r w:rsidR="002A6AD1" w:rsidRPr="00E66E8C">
              <w:rPr>
                <w:bCs/>
                <w:iCs/>
                <w:color w:val="000000" w:themeColor="text1"/>
              </w:rPr>
              <w:t xml:space="preserve"> Totodată, pentru a se realiza corelarea corespunzătoare a prevederilor Ordonanței de urgență a Guvernului nr. 27/2022, a fost necesară modificarea corespunzătoare și a părții dispozitive a art. 5 alin. (1) din ordonanța de urgență; </w:t>
            </w:r>
          </w:p>
          <w:p w14:paraId="5CBF9CD1" w14:textId="0085C3DB" w:rsidR="00E4608E" w:rsidRDefault="00E4608E" w:rsidP="00E4608E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  <w:r w:rsidRPr="00E66E8C">
              <w:rPr>
                <w:bCs/>
                <w:iCs/>
                <w:color w:val="000000" w:themeColor="text1"/>
              </w:rPr>
              <w:t xml:space="preserve">- modificare art. 6 alin. (2), deoarece, în cazul </w:t>
            </w:r>
            <w:r w:rsidR="00006814">
              <w:rPr>
                <w:bCs/>
                <w:iCs/>
                <w:color w:val="000000" w:themeColor="text1"/>
              </w:rPr>
              <w:t>î</w:t>
            </w:r>
            <w:r w:rsidRPr="00E66E8C">
              <w:rPr>
                <w:bCs/>
                <w:iCs/>
                <w:color w:val="000000" w:themeColor="text1"/>
              </w:rPr>
              <w:t>n care nu se introduce o precizare cu privire la modul de stabilire a componentei de achizi</w:t>
            </w:r>
            <w:r w:rsidR="00006814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>ie, av</w:t>
            </w:r>
            <w:r w:rsidR="00006814">
              <w:rPr>
                <w:bCs/>
                <w:iCs/>
                <w:color w:val="000000" w:themeColor="text1"/>
              </w:rPr>
              <w:t>â</w:t>
            </w:r>
            <w:r w:rsidRPr="00E66E8C">
              <w:rPr>
                <w:bCs/>
                <w:iCs/>
                <w:color w:val="000000" w:themeColor="text1"/>
              </w:rPr>
              <w:t xml:space="preserve">nd </w:t>
            </w:r>
            <w:r w:rsidR="00006814">
              <w:rPr>
                <w:bCs/>
                <w:iCs/>
                <w:color w:val="000000" w:themeColor="text1"/>
              </w:rPr>
              <w:t>î</w:t>
            </w:r>
            <w:r w:rsidRPr="00E66E8C">
              <w:rPr>
                <w:bCs/>
                <w:iCs/>
                <w:color w:val="000000" w:themeColor="text1"/>
              </w:rPr>
              <w:t>n vedere faptul c</w:t>
            </w:r>
            <w:r w:rsidR="00006814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 pentru aceast</w:t>
            </w:r>
            <w:r w:rsidR="00006814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 categorie de clien</w:t>
            </w:r>
            <w:r w:rsidR="00006814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 xml:space="preserve">i energia se asigura </w:t>
            </w:r>
            <w:r w:rsidR="00006814">
              <w:rPr>
                <w:bCs/>
                <w:iCs/>
                <w:color w:val="000000" w:themeColor="text1"/>
              </w:rPr>
              <w:t>î</w:t>
            </w:r>
            <w:r w:rsidRPr="00E66E8C">
              <w:rPr>
                <w:bCs/>
                <w:iCs/>
                <w:color w:val="000000" w:themeColor="text1"/>
              </w:rPr>
              <w:t xml:space="preserve">n cea mai mare parte din </w:t>
            </w:r>
            <w:r w:rsidR="00DC2493" w:rsidRPr="00E66E8C">
              <w:rPr>
                <w:bCs/>
                <w:iCs/>
                <w:color w:val="000000" w:themeColor="text1"/>
              </w:rPr>
              <w:t>piața pentru ziua următoare (</w:t>
            </w:r>
            <w:r w:rsidRPr="00E66E8C">
              <w:rPr>
                <w:bCs/>
                <w:iCs/>
                <w:color w:val="000000" w:themeColor="text1"/>
              </w:rPr>
              <w:t>PZU</w:t>
            </w:r>
            <w:r w:rsidR="00DC2493" w:rsidRPr="00E66E8C">
              <w:rPr>
                <w:bCs/>
                <w:iCs/>
                <w:color w:val="000000" w:themeColor="text1"/>
              </w:rPr>
              <w:t>)</w:t>
            </w:r>
            <w:r w:rsidRPr="00E66E8C">
              <w:rPr>
                <w:bCs/>
                <w:iCs/>
                <w:color w:val="000000" w:themeColor="text1"/>
              </w:rPr>
              <w:t xml:space="preserve"> </w:t>
            </w:r>
            <w:r w:rsidR="00006814">
              <w:rPr>
                <w:bCs/>
                <w:iCs/>
                <w:color w:val="000000" w:themeColor="text1"/>
              </w:rPr>
              <w:t>ș</w:t>
            </w:r>
            <w:r w:rsidRPr="00E66E8C">
              <w:rPr>
                <w:bCs/>
                <w:iCs/>
                <w:color w:val="000000" w:themeColor="text1"/>
              </w:rPr>
              <w:t xml:space="preserve">i ca dezechilibru, valoarea acestei componente poate sa fie foarte mare </w:t>
            </w:r>
            <w:r w:rsidR="00006814">
              <w:rPr>
                <w:bCs/>
                <w:iCs/>
                <w:color w:val="000000" w:themeColor="text1"/>
              </w:rPr>
              <w:t>î</w:t>
            </w:r>
            <w:r w:rsidRPr="00E66E8C">
              <w:rPr>
                <w:bCs/>
                <w:iCs/>
                <w:color w:val="000000" w:themeColor="text1"/>
              </w:rPr>
              <w:t>n condi</w:t>
            </w:r>
            <w:r w:rsidR="00006814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 xml:space="preserve">iile </w:t>
            </w:r>
            <w:r w:rsidR="00006814">
              <w:rPr>
                <w:bCs/>
                <w:iCs/>
                <w:color w:val="000000" w:themeColor="text1"/>
              </w:rPr>
              <w:t>î</w:t>
            </w:r>
            <w:r w:rsidRPr="00E66E8C">
              <w:rPr>
                <w:bCs/>
                <w:iCs/>
                <w:color w:val="000000" w:themeColor="text1"/>
              </w:rPr>
              <w:t>n care furnizorii nu cunosc costul real anterior lunii de facturare. Astfel</w:t>
            </w:r>
            <w:r w:rsidR="002E360D" w:rsidRPr="00E66E8C">
              <w:rPr>
                <w:bCs/>
                <w:iCs/>
                <w:color w:val="000000" w:themeColor="text1"/>
              </w:rPr>
              <w:t>,</w:t>
            </w:r>
            <w:r w:rsidRPr="00E66E8C">
              <w:rPr>
                <w:bCs/>
                <w:iCs/>
                <w:color w:val="000000" w:themeColor="text1"/>
              </w:rPr>
              <w:t xml:space="preserve"> </w:t>
            </w:r>
            <w:r w:rsidR="00DC2493" w:rsidRPr="00E66E8C">
              <w:rPr>
                <w:bCs/>
                <w:iCs/>
                <w:color w:val="000000" w:themeColor="text1"/>
              </w:rPr>
              <w:t>furnizorii de ultimă instanță (</w:t>
            </w:r>
            <w:r w:rsidRPr="00E66E8C">
              <w:rPr>
                <w:bCs/>
                <w:iCs/>
                <w:color w:val="000000" w:themeColor="text1"/>
              </w:rPr>
              <w:t>FUI</w:t>
            </w:r>
            <w:r w:rsidR="00DC2493" w:rsidRPr="00E66E8C">
              <w:rPr>
                <w:bCs/>
                <w:iCs/>
                <w:color w:val="000000" w:themeColor="text1"/>
              </w:rPr>
              <w:t>)</w:t>
            </w:r>
            <w:r w:rsidR="002E360D" w:rsidRPr="00E66E8C">
              <w:rPr>
                <w:bCs/>
                <w:iCs/>
                <w:color w:val="000000" w:themeColor="text1"/>
              </w:rPr>
              <w:t>,</w:t>
            </w:r>
            <w:r w:rsidRPr="00E66E8C">
              <w:rPr>
                <w:bCs/>
                <w:iCs/>
                <w:color w:val="000000" w:themeColor="text1"/>
              </w:rPr>
              <w:t xml:space="preserve"> pentru a </w:t>
            </w:r>
            <w:r w:rsidR="00006814">
              <w:rPr>
                <w:bCs/>
                <w:iCs/>
                <w:color w:val="000000" w:themeColor="text1"/>
              </w:rPr>
              <w:t>îș</w:t>
            </w:r>
            <w:r w:rsidRPr="00E66E8C">
              <w:rPr>
                <w:bCs/>
                <w:iCs/>
                <w:color w:val="000000" w:themeColor="text1"/>
              </w:rPr>
              <w:t>i asigura riscurile determinate de volatilitate</w:t>
            </w:r>
            <w:r w:rsidR="002E360D" w:rsidRPr="00E66E8C">
              <w:rPr>
                <w:bCs/>
                <w:iCs/>
                <w:color w:val="000000" w:themeColor="text1"/>
              </w:rPr>
              <w:t>,</w:t>
            </w:r>
            <w:r w:rsidRPr="00E66E8C">
              <w:rPr>
                <w:bCs/>
                <w:iCs/>
                <w:color w:val="000000" w:themeColor="text1"/>
              </w:rPr>
              <w:t xml:space="preserve"> pot stabili valoarea componentei de achizi</w:t>
            </w:r>
            <w:r w:rsidR="00006814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>ie la un nivel ridicat ceea ce va determina un pre</w:t>
            </w:r>
            <w:r w:rsidR="00006814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 xml:space="preserve"> mare aplicat clien</w:t>
            </w:r>
            <w:r w:rsidR="00006814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>ilor din aceasta categorie</w:t>
            </w:r>
            <w:r w:rsidR="002E360D" w:rsidRPr="00E66E8C">
              <w:rPr>
                <w:bCs/>
                <w:iCs/>
                <w:color w:val="000000" w:themeColor="text1"/>
              </w:rPr>
              <w:t>;</w:t>
            </w:r>
          </w:p>
          <w:p w14:paraId="44D9802D" w14:textId="648BE8D8" w:rsidR="00E4608E" w:rsidRDefault="00E4608E" w:rsidP="00E4608E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  <w:r w:rsidRPr="00E66E8C">
              <w:rPr>
                <w:bCs/>
                <w:iCs/>
                <w:color w:val="000000" w:themeColor="text1"/>
              </w:rPr>
              <w:t>- modificarea art. 7 alin. (1) pentru a se asigura plata numai pentru contravaloarea aferent</w:t>
            </w:r>
            <w:r w:rsidR="00006814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 energiei facturate clien</w:t>
            </w:r>
            <w:r w:rsidR="00006814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>ilor beneficiari de schem</w:t>
            </w:r>
            <w:r w:rsidR="00006814">
              <w:rPr>
                <w:bCs/>
                <w:iCs/>
                <w:color w:val="000000" w:themeColor="text1"/>
              </w:rPr>
              <w:t>ă</w:t>
            </w:r>
            <w:r w:rsidR="002E360D" w:rsidRPr="00E66E8C">
              <w:rPr>
                <w:bCs/>
                <w:iCs/>
                <w:color w:val="000000" w:themeColor="text1"/>
              </w:rPr>
              <w:t>;</w:t>
            </w:r>
          </w:p>
          <w:p w14:paraId="24B8EBED" w14:textId="084B71FE" w:rsidR="00E4608E" w:rsidRDefault="00E4608E" w:rsidP="00E4608E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  <w:r w:rsidRPr="00E66E8C">
              <w:rPr>
                <w:bCs/>
                <w:iCs/>
                <w:color w:val="000000" w:themeColor="text1"/>
              </w:rPr>
              <w:t>- introducere</w:t>
            </w:r>
            <w:r w:rsidR="00006814">
              <w:rPr>
                <w:bCs/>
                <w:iCs/>
                <w:color w:val="000000" w:themeColor="text1"/>
              </w:rPr>
              <w:t>a</w:t>
            </w:r>
            <w:r w:rsidRPr="00E66E8C">
              <w:rPr>
                <w:bCs/>
                <w:iCs/>
                <w:color w:val="000000" w:themeColor="text1"/>
              </w:rPr>
              <w:t xml:space="preserve"> a dou</w:t>
            </w:r>
            <w:r w:rsidR="00006814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 noi alineate la art. 23</w:t>
            </w:r>
            <w:r w:rsidR="002E360D" w:rsidRPr="00E66E8C">
              <w:rPr>
                <w:bCs/>
                <w:iCs/>
                <w:color w:val="000000" w:themeColor="text1"/>
              </w:rPr>
              <w:t>. Sub acest aspect, prin raportare la dispozițiile</w:t>
            </w:r>
            <w:r w:rsidRPr="00E66E8C">
              <w:rPr>
                <w:bCs/>
                <w:iCs/>
                <w:color w:val="000000" w:themeColor="text1"/>
              </w:rPr>
              <w:t xml:space="preserve"> </w:t>
            </w:r>
            <w:r w:rsidR="00163A19">
              <w:rPr>
                <w:color w:val="000000" w:themeColor="text1"/>
              </w:rPr>
              <w:t>Ordonanț</w:t>
            </w:r>
            <w:r w:rsidR="00DF3381">
              <w:rPr>
                <w:color w:val="000000" w:themeColor="text1"/>
              </w:rPr>
              <w:t>ei</w:t>
            </w:r>
            <w:r w:rsidR="00163A19">
              <w:rPr>
                <w:color w:val="000000" w:themeColor="text1"/>
              </w:rPr>
              <w:t xml:space="preserve"> de urgență a Guvernului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="00163A19">
              <w:rPr>
                <w:bCs/>
                <w:iCs/>
                <w:color w:val="000000" w:themeColor="text1"/>
              </w:rPr>
              <w:t>nr.</w:t>
            </w:r>
            <w:r w:rsidR="00DF3381">
              <w:rPr>
                <w:bCs/>
                <w:iCs/>
                <w:color w:val="000000" w:themeColor="text1"/>
              </w:rPr>
              <w:t xml:space="preserve"> </w:t>
            </w:r>
            <w:r w:rsidRPr="00E66E8C">
              <w:rPr>
                <w:bCs/>
                <w:iCs/>
                <w:color w:val="000000" w:themeColor="text1"/>
              </w:rPr>
              <w:t>27/2022</w:t>
            </w:r>
            <w:r w:rsidR="002E360D" w:rsidRPr="00E66E8C">
              <w:rPr>
                <w:bCs/>
                <w:iCs/>
                <w:color w:val="000000" w:themeColor="text1"/>
              </w:rPr>
              <w:t>,</w:t>
            </w:r>
            <w:r w:rsidRPr="00E66E8C">
              <w:rPr>
                <w:bCs/>
                <w:iCs/>
                <w:color w:val="000000" w:themeColor="text1"/>
              </w:rPr>
              <w:t xml:space="preserve"> respectiv 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a </w:t>
            </w:r>
            <w:r w:rsidRPr="00E66E8C">
              <w:rPr>
                <w:bCs/>
                <w:iCs/>
                <w:color w:val="000000" w:themeColor="text1"/>
              </w:rPr>
              <w:t xml:space="preserve">art. 23 ce introduce </w:t>
            </w:r>
            <w:r w:rsidR="00DF3381">
              <w:rPr>
                <w:bCs/>
                <w:iCs/>
                <w:color w:val="000000" w:themeColor="text1"/>
              </w:rPr>
              <w:t>ș</w:t>
            </w:r>
            <w:r w:rsidRPr="00E66E8C">
              <w:rPr>
                <w:bCs/>
                <w:iCs/>
                <w:color w:val="000000" w:themeColor="text1"/>
              </w:rPr>
              <w:t>i reglementeaz</w:t>
            </w:r>
            <w:r w:rsidR="00DF3381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 procedura de regularizare, de recuperare a unor costuri aferente lunilor noiembrie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 2021</w:t>
            </w:r>
            <w:r w:rsidRPr="00E66E8C">
              <w:rPr>
                <w:bCs/>
                <w:iCs/>
                <w:color w:val="000000" w:themeColor="text1"/>
              </w:rPr>
              <w:t>, decembrie 2021</w:t>
            </w:r>
            <w:r w:rsidR="002E360D" w:rsidRPr="00E66E8C">
              <w:rPr>
                <w:bCs/>
                <w:iCs/>
                <w:color w:val="000000" w:themeColor="text1"/>
              </w:rPr>
              <w:t>,</w:t>
            </w:r>
            <w:r w:rsidRPr="00E66E8C">
              <w:rPr>
                <w:bCs/>
                <w:iCs/>
                <w:color w:val="000000" w:themeColor="text1"/>
              </w:rPr>
              <w:t xml:space="preserve"> ianuarie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 2022</w:t>
            </w:r>
            <w:r w:rsidRPr="00E66E8C">
              <w:rPr>
                <w:bCs/>
                <w:iCs/>
                <w:color w:val="000000" w:themeColor="text1"/>
              </w:rPr>
              <w:t xml:space="preserve"> , februarie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 2022</w:t>
            </w:r>
            <w:r w:rsidRPr="00E66E8C">
              <w:rPr>
                <w:bCs/>
                <w:iCs/>
                <w:color w:val="000000" w:themeColor="text1"/>
              </w:rPr>
              <w:t xml:space="preserve"> </w:t>
            </w:r>
            <w:r w:rsidR="00DF3381">
              <w:rPr>
                <w:bCs/>
                <w:iCs/>
                <w:color w:val="000000" w:themeColor="text1"/>
              </w:rPr>
              <w:t>ș</w:t>
            </w:r>
            <w:r w:rsidRPr="00E66E8C">
              <w:rPr>
                <w:bCs/>
                <w:iCs/>
                <w:color w:val="000000" w:themeColor="text1"/>
              </w:rPr>
              <w:t>i martie 2022, av</w:t>
            </w:r>
            <w:r w:rsidR="00DF3381">
              <w:rPr>
                <w:bCs/>
                <w:iCs/>
                <w:color w:val="000000" w:themeColor="text1"/>
              </w:rPr>
              <w:t>â</w:t>
            </w:r>
            <w:r w:rsidRPr="00E66E8C">
              <w:rPr>
                <w:bCs/>
                <w:iCs/>
                <w:color w:val="000000" w:themeColor="text1"/>
              </w:rPr>
              <w:t xml:space="preserve">nd </w:t>
            </w:r>
            <w:r w:rsidR="00DF3381">
              <w:rPr>
                <w:bCs/>
                <w:iCs/>
                <w:color w:val="000000" w:themeColor="text1"/>
              </w:rPr>
              <w:t>î</w:t>
            </w:r>
            <w:r w:rsidRPr="00E66E8C">
              <w:rPr>
                <w:bCs/>
                <w:iCs/>
                <w:color w:val="000000" w:themeColor="text1"/>
              </w:rPr>
              <w:t>n vedere raport</w:t>
            </w:r>
            <w:r w:rsidR="00DF3381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rile operatorilor cu privire la prevederile </w:t>
            </w:r>
            <w:r w:rsidR="00163A19">
              <w:rPr>
                <w:color w:val="000000" w:themeColor="text1"/>
              </w:rPr>
              <w:t>Ordonanței de urgență a Guvernului</w:t>
            </w:r>
            <w:r w:rsidR="00163A19" w:rsidRPr="002A5645">
              <w:rPr>
                <w:color w:val="000000" w:themeColor="text1"/>
              </w:rPr>
              <w:t xml:space="preserve"> 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nr. </w:t>
            </w:r>
            <w:r w:rsidRPr="00E66E8C">
              <w:rPr>
                <w:bCs/>
                <w:iCs/>
                <w:color w:val="000000" w:themeColor="text1"/>
              </w:rPr>
              <w:t>118 /2021 din aceea</w:t>
            </w:r>
            <w:r w:rsidR="00DF3381">
              <w:rPr>
                <w:bCs/>
                <w:iCs/>
                <w:color w:val="000000" w:themeColor="text1"/>
              </w:rPr>
              <w:t>ș</w:t>
            </w:r>
            <w:r w:rsidRPr="00E66E8C">
              <w:rPr>
                <w:bCs/>
                <w:iCs/>
                <w:color w:val="000000" w:themeColor="text1"/>
              </w:rPr>
              <w:t>i perioad</w:t>
            </w:r>
            <w:r w:rsidR="00DF3381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, </w:t>
            </w:r>
            <w:r w:rsidR="002E360D" w:rsidRPr="00E66E8C">
              <w:rPr>
                <w:bCs/>
                <w:iCs/>
                <w:color w:val="000000" w:themeColor="text1"/>
              </w:rPr>
              <w:t>Autoritatea Națională de Reglementare în domeniul Energiei</w:t>
            </w:r>
            <w:r w:rsidR="002E360D" w:rsidRPr="00E66E8C" w:rsidDel="002E360D">
              <w:rPr>
                <w:bCs/>
                <w:iCs/>
                <w:color w:val="000000" w:themeColor="text1"/>
              </w:rPr>
              <w:t xml:space="preserve"> </w:t>
            </w:r>
            <w:r w:rsidRPr="00E66E8C">
              <w:rPr>
                <w:bCs/>
                <w:iCs/>
                <w:color w:val="000000" w:themeColor="text1"/>
              </w:rPr>
              <w:t xml:space="preserve">a constatat ca au fost raportate date </w:t>
            </w:r>
            <w:r w:rsidR="00DF3381">
              <w:rPr>
                <w:bCs/>
                <w:iCs/>
                <w:color w:val="000000" w:themeColor="text1"/>
              </w:rPr>
              <w:t>î</w:t>
            </w:r>
            <w:r w:rsidRPr="00E66E8C">
              <w:rPr>
                <w:bCs/>
                <w:iCs/>
                <w:color w:val="000000" w:themeColor="text1"/>
              </w:rPr>
              <w:t>n vederea verific</w:t>
            </w:r>
            <w:r w:rsidR="00DF3381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rii </w:t>
            </w:r>
            <w:r w:rsidR="00DF3381">
              <w:rPr>
                <w:bCs/>
                <w:iCs/>
                <w:color w:val="000000" w:themeColor="text1"/>
              </w:rPr>
              <w:t>ș</w:t>
            </w:r>
            <w:r w:rsidRPr="00E66E8C">
              <w:rPr>
                <w:bCs/>
                <w:iCs/>
                <w:color w:val="000000" w:themeColor="text1"/>
              </w:rPr>
              <w:t>i determin</w:t>
            </w:r>
            <w:r w:rsidR="00DF3381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rii sumelor solicitate spre decontare de la bugetul stat, ce cuprindeau </w:t>
            </w:r>
            <w:r w:rsidR="00DF3381">
              <w:rPr>
                <w:bCs/>
                <w:iCs/>
                <w:color w:val="000000" w:themeColor="text1"/>
              </w:rPr>
              <w:t>î</w:t>
            </w:r>
            <w:r w:rsidRPr="00E66E8C">
              <w:rPr>
                <w:bCs/>
                <w:iCs/>
                <w:color w:val="000000" w:themeColor="text1"/>
              </w:rPr>
              <w:t xml:space="preserve">n mod eronat, </w:t>
            </w:r>
            <w:r w:rsidR="002E360D" w:rsidRPr="00E66E8C">
              <w:rPr>
                <w:bCs/>
                <w:iCs/>
                <w:color w:val="000000" w:themeColor="text1"/>
              </w:rPr>
              <w:t>cu titlu de exemplu,</w:t>
            </w:r>
            <w:r w:rsidRPr="00E66E8C">
              <w:rPr>
                <w:bCs/>
                <w:iCs/>
                <w:color w:val="000000" w:themeColor="text1"/>
              </w:rPr>
              <w:t xml:space="preserve"> achizi</w:t>
            </w:r>
            <w:r w:rsidR="00DF3381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 xml:space="preserve">ii 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de energie electrică </w:t>
            </w:r>
            <w:r w:rsidR="00DF3381">
              <w:rPr>
                <w:bCs/>
                <w:iCs/>
                <w:color w:val="000000" w:themeColor="text1"/>
              </w:rPr>
              <w:t>ș</w:t>
            </w:r>
            <w:r w:rsidRPr="00E66E8C">
              <w:rPr>
                <w:bCs/>
                <w:iCs/>
                <w:color w:val="000000" w:themeColor="text1"/>
              </w:rPr>
              <w:t xml:space="preserve">i/sau 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gaze naturale </w:t>
            </w:r>
            <w:r w:rsidRPr="00E66E8C">
              <w:rPr>
                <w:bCs/>
                <w:iCs/>
                <w:color w:val="000000" w:themeColor="text1"/>
              </w:rPr>
              <w:t>aferente dezechilibrelor sau date de achizi</w:t>
            </w:r>
            <w:r w:rsidR="00DF3381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>ie ce nu cuprindeau toate contractele de achizi</w:t>
            </w:r>
            <w:r w:rsidR="00DF3381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 xml:space="preserve">ii cu livrare </w:t>
            </w:r>
            <w:r w:rsidR="00DF3381">
              <w:rPr>
                <w:bCs/>
                <w:iCs/>
                <w:color w:val="000000" w:themeColor="text1"/>
              </w:rPr>
              <w:t>î</w:t>
            </w:r>
            <w:r w:rsidRPr="00E66E8C">
              <w:rPr>
                <w:bCs/>
                <w:iCs/>
                <w:color w:val="000000" w:themeColor="text1"/>
              </w:rPr>
              <w:t>n luna de raportare, contrar dispozi</w:t>
            </w:r>
            <w:r w:rsidR="00DF3381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>iilor legale. Odat</w:t>
            </w:r>
            <w:r w:rsidR="00DF3381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 cu introducerea no</w:t>
            </w:r>
            <w:r w:rsidR="00DF3381">
              <w:rPr>
                <w:bCs/>
                <w:iCs/>
                <w:color w:val="000000" w:themeColor="text1"/>
              </w:rPr>
              <w:t>ț</w:t>
            </w:r>
            <w:r w:rsidRPr="00E66E8C">
              <w:rPr>
                <w:bCs/>
                <w:iCs/>
                <w:color w:val="000000" w:themeColor="text1"/>
              </w:rPr>
              <w:t xml:space="preserve">iunii de regularizare este posibil </w:t>
            </w:r>
            <w:r w:rsidR="00DF3381">
              <w:rPr>
                <w:bCs/>
                <w:iCs/>
                <w:color w:val="000000" w:themeColor="text1"/>
              </w:rPr>
              <w:t>ș</w:t>
            </w:r>
            <w:r w:rsidRPr="00E66E8C">
              <w:rPr>
                <w:bCs/>
                <w:iCs/>
                <w:color w:val="000000" w:themeColor="text1"/>
              </w:rPr>
              <w:t>i necesar a permite operatorilor beneficiari s</w:t>
            </w:r>
            <w:r w:rsidR="00DF3381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 poat</w:t>
            </w:r>
            <w:r w:rsidR="00DF3381">
              <w:rPr>
                <w:bCs/>
                <w:iCs/>
                <w:color w:val="000000" w:themeColor="text1"/>
              </w:rPr>
              <w:t>ă</w:t>
            </w:r>
            <w:r w:rsidRPr="00E66E8C">
              <w:rPr>
                <w:bCs/>
                <w:iCs/>
                <w:color w:val="000000" w:themeColor="text1"/>
              </w:rPr>
              <w:t xml:space="preserve"> interveni si corecta erorile incarcate pe platforma IT puse la dispoztie de catre </w:t>
            </w:r>
            <w:r w:rsidR="002E360D" w:rsidRPr="00E66E8C">
              <w:rPr>
                <w:bCs/>
                <w:iCs/>
                <w:color w:val="000000" w:themeColor="text1"/>
              </w:rPr>
              <w:t>Autoritatea Națională de Reglementare în domeniul Energiei</w:t>
            </w:r>
            <w:r w:rsidRPr="00E66E8C">
              <w:rPr>
                <w:bCs/>
                <w:iCs/>
                <w:color w:val="000000" w:themeColor="text1"/>
              </w:rPr>
              <w:t xml:space="preserve">, in egala masura sa refaca si sa redepuna cererile de decontare respectiv a declaratiilor pe proprie raspundere aferente atat catre Ministerul Energiei cat si in atentia 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Autorității Naționale de Reglementare în domeniul Energiei </w:t>
            </w:r>
            <w:r w:rsidRPr="00E66E8C">
              <w:rPr>
                <w:bCs/>
                <w:iCs/>
                <w:color w:val="000000" w:themeColor="text1"/>
              </w:rPr>
              <w:t>conform procedurii de decontare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. </w:t>
            </w:r>
            <w:r w:rsidR="00313008" w:rsidRPr="00E66E8C">
              <w:rPr>
                <w:bCs/>
                <w:iCs/>
                <w:color w:val="000000" w:themeColor="text1"/>
              </w:rPr>
              <w:t>L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ipsa introducerii unei asemenea posibilități </w:t>
            </w:r>
            <w:r w:rsidR="00313008" w:rsidRPr="00E66E8C">
              <w:rPr>
                <w:bCs/>
                <w:iCs/>
                <w:color w:val="000000" w:themeColor="text1"/>
              </w:rPr>
              <w:t>ar determina posibilitatea existenței unei situații de decontare a unor valori care nu corespund valorilor finale ce ar rezulta în urma derulării procedurii de regularizare</w:t>
            </w:r>
            <w:r w:rsidR="002E360D" w:rsidRPr="00E66E8C">
              <w:rPr>
                <w:bCs/>
                <w:iCs/>
                <w:color w:val="000000" w:themeColor="text1"/>
              </w:rPr>
              <w:t>;</w:t>
            </w:r>
          </w:p>
          <w:p w14:paraId="5160D28C" w14:textId="77777777" w:rsidR="000A1CCA" w:rsidRPr="00E66E8C" w:rsidRDefault="000A1CCA" w:rsidP="00E4608E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</w:p>
          <w:p w14:paraId="1FD65DFD" w14:textId="0A7A2452" w:rsidR="000661A2" w:rsidRDefault="000661A2" w:rsidP="00E4608E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  <w:r w:rsidRPr="00E66E8C">
              <w:rPr>
                <w:bCs/>
                <w:iCs/>
                <w:color w:val="000000" w:themeColor="text1"/>
              </w:rPr>
              <w:t xml:space="preserve">- modificarea art. 23 alin. (5) pentru a se acorda timpul necesar efectuării tuturor </w:t>
            </w:r>
            <w:r w:rsidR="00313008" w:rsidRPr="00E66E8C">
              <w:rPr>
                <w:bCs/>
                <w:iCs/>
                <w:color w:val="000000" w:themeColor="text1"/>
              </w:rPr>
              <w:t>operațiunilor tehnice incidente</w:t>
            </w:r>
            <w:r w:rsidRPr="00E66E8C">
              <w:rPr>
                <w:bCs/>
                <w:iCs/>
                <w:color w:val="000000" w:themeColor="text1"/>
              </w:rPr>
              <w:t xml:space="preserve">, având în vedere </w:t>
            </w:r>
            <w:r w:rsidRPr="00E66E8C">
              <w:rPr>
                <w:bCs/>
                <w:iCs/>
                <w:color w:val="000000" w:themeColor="text1"/>
              </w:rPr>
              <w:lastRenderedPageBreak/>
              <w:t xml:space="preserve">volumul foarte mare de date ce trebuie pregătit de operatorii economici și necesitatea prelucrării acestor date de către 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Autoritatea Națională de Reglementare în domeniul Energiei </w:t>
            </w:r>
            <w:r w:rsidRPr="00E66E8C">
              <w:rPr>
                <w:bCs/>
                <w:iCs/>
                <w:color w:val="000000" w:themeColor="text1"/>
              </w:rPr>
              <w:t xml:space="preserve">precum și restul atribuțiilor primite de către 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Autoritatea Națională de Reglementare în domeniul Energiei </w:t>
            </w:r>
            <w:r w:rsidRPr="00E66E8C">
              <w:rPr>
                <w:bCs/>
                <w:iCs/>
                <w:color w:val="000000" w:themeColor="text1"/>
              </w:rPr>
              <w:t>prin ordonanțe similare. În contextul antemenționat este necesar a se prelungi acest termen</w:t>
            </w:r>
            <w:r w:rsidR="00313008" w:rsidRPr="00E66E8C">
              <w:rPr>
                <w:bCs/>
                <w:iCs/>
                <w:color w:val="000000" w:themeColor="text1"/>
              </w:rPr>
              <w:t xml:space="preserve"> – respectiv prelungirea termenului de la 15 mai 2022 la 15 iulie 2022</w:t>
            </w:r>
            <w:r w:rsidRPr="00E66E8C">
              <w:rPr>
                <w:bCs/>
                <w:iCs/>
                <w:color w:val="000000" w:themeColor="text1"/>
              </w:rPr>
              <w:t>.</w:t>
            </w:r>
          </w:p>
          <w:p w14:paraId="653FB584" w14:textId="6D8ED437" w:rsidR="00E4608E" w:rsidRDefault="00E4608E" w:rsidP="00E4608E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  <w:r w:rsidRPr="00E66E8C">
              <w:rPr>
                <w:bCs/>
                <w:iCs/>
                <w:color w:val="000000" w:themeColor="text1"/>
              </w:rPr>
              <w:t xml:space="preserve">Pentru o mai precisa reglementare legislativa, in sensul celor prezentate mai sus, este necesar a se cuprinde in cadrul prezentei ordonanțe </w:t>
            </w:r>
            <w:r w:rsidR="00C72A2D" w:rsidRPr="00E66E8C">
              <w:rPr>
                <w:bCs/>
                <w:iCs/>
                <w:color w:val="000000" w:themeColor="text1"/>
              </w:rPr>
              <w:t>patru</w:t>
            </w:r>
            <w:r w:rsidRPr="00E66E8C">
              <w:rPr>
                <w:bCs/>
                <w:iCs/>
                <w:color w:val="000000" w:themeColor="text1"/>
              </w:rPr>
              <w:t xml:space="preserve"> noi anexe (</w:t>
            </w:r>
            <w:r w:rsidR="00C72A2D" w:rsidRPr="00E66E8C">
              <w:rPr>
                <w:bCs/>
                <w:iCs/>
                <w:color w:val="000000" w:themeColor="text1"/>
              </w:rPr>
              <w:t xml:space="preserve">care vor deveni anexele nr. </w:t>
            </w:r>
            <w:r w:rsidRPr="00E66E8C">
              <w:rPr>
                <w:bCs/>
                <w:iCs/>
                <w:color w:val="000000" w:themeColor="text1"/>
              </w:rPr>
              <w:t>7-10</w:t>
            </w:r>
            <w:r w:rsidR="00C72A2D" w:rsidRPr="00E66E8C">
              <w:rPr>
                <w:bCs/>
                <w:iCs/>
                <w:color w:val="000000" w:themeColor="text1"/>
              </w:rPr>
              <w:t xml:space="preserve"> la Ordonanța de urgență </w:t>
            </w:r>
            <w:r w:rsidR="00163A19">
              <w:rPr>
                <w:bCs/>
                <w:iCs/>
                <w:color w:val="000000" w:themeColor="text1"/>
              </w:rPr>
              <w:t xml:space="preserve">a Guvernului </w:t>
            </w:r>
            <w:r w:rsidR="00C72A2D" w:rsidRPr="00E66E8C">
              <w:rPr>
                <w:bCs/>
                <w:iCs/>
                <w:color w:val="000000" w:themeColor="text1"/>
              </w:rPr>
              <w:t>nr. 27/2022</w:t>
            </w:r>
            <w:r w:rsidRPr="00E66E8C">
              <w:rPr>
                <w:bCs/>
                <w:iCs/>
                <w:color w:val="000000" w:themeColor="text1"/>
              </w:rPr>
              <w:t xml:space="preserve">) ce vor clarifica modalitatea practica de incarcare a datelor pe platforma </w:t>
            </w:r>
            <w:r w:rsidR="00C72A2D" w:rsidRPr="00E66E8C">
              <w:rPr>
                <w:bCs/>
                <w:iCs/>
                <w:color w:val="000000" w:themeColor="text1"/>
              </w:rPr>
              <w:t xml:space="preserve">informatică (platforma </w:t>
            </w:r>
            <w:r w:rsidRPr="00E66E8C">
              <w:rPr>
                <w:bCs/>
                <w:iCs/>
                <w:color w:val="000000" w:themeColor="text1"/>
              </w:rPr>
              <w:t>IT</w:t>
            </w:r>
            <w:r w:rsidR="00C72A2D" w:rsidRPr="00E66E8C">
              <w:rPr>
                <w:bCs/>
                <w:iCs/>
                <w:color w:val="000000" w:themeColor="text1"/>
              </w:rPr>
              <w:t>),</w:t>
            </w:r>
            <w:r w:rsidRPr="00E66E8C">
              <w:rPr>
                <w:bCs/>
                <w:iCs/>
                <w:color w:val="000000" w:themeColor="text1"/>
              </w:rPr>
              <w:t xml:space="preserve"> pusa la dispozitie de catre </w:t>
            </w:r>
            <w:r w:rsidR="002E360D" w:rsidRPr="00E66E8C">
              <w:rPr>
                <w:bCs/>
                <w:iCs/>
                <w:color w:val="000000" w:themeColor="text1"/>
              </w:rPr>
              <w:t>Autoritatea Națională de Reglementare în domeniul Energiei</w:t>
            </w:r>
            <w:r w:rsidR="00C72A2D" w:rsidRPr="00E66E8C">
              <w:rPr>
                <w:bCs/>
                <w:iCs/>
                <w:color w:val="000000" w:themeColor="text1"/>
              </w:rPr>
              <w:t>,</w:t>
            </w:r>
            <w:r w:rsidR="002E360D" w:rsidRPr="00E66E8C">
              <w:rPr>
                <w:bCs/>
                <w:iCs/>
                <w:color w:val="000000" w:themeColor="text1"/>
              </w:rPr>
              <w:t xml:space="preserve"> </w:t>
            </w:r>
            <w:r w:rsidRPr="00E66E8C">
              <w:rPr>
                <w:bCs/>
                <w:iCs/>
                <w:color w:val="000000" w:themeColor="text1"/>
              </w:rPr>
              <w:t>insotite de instructiuni precise pentru a nu se mai crea confuzii</w:t>
            </w:r>
            <w:r w:rsidR="00CD5507" w:rsidRPr="00E66E8C">
              <w:rPr>
                <w:bCs/>
                <w:iCs/>
                <w:color w:val="000000" w:themeColor="text1"/>
              </w:rPr>
              <w:t>. Ca urmare a introducerii acestor patru noi anexe la Ordonanța de urgență a Guvernului nr. 27/2022, a fost necesară modificarea corespunzătoare și a dispozițiilor art. 24 din Ordonanța de urgență a Guvernului nr. 27/2022</w:t>
            </w:r>
            <w:r w:rsidR="00C72A2D" w:rsidRPr="00E66E8C">
              <w:rPr>
                <w:bCs/>
                <w:iCs/>
                <w:color w:val="000000" w:themeColor="text1"/>
              </w:rPr>
              <w:t>;</w:t>
            </w:r>
          </w:p>
          <w:p w14:paraId="1575B1F2" w14:textId="39607C96" w:rsidR="00E4608E" w:rsidRDefault="00E4608E" w:rsidP="00E4608E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  <w:r w:rsidRPr="00E66E8C">
              <w:rPr>
                <w:bCs/>
                <w:iCs/>
                <w:color w:val="000000" w:themeColor="text1"/>
              </w:rPr>
              <w:t xml:space="preserve">- introducerea a doua noi alineate </w:t>
            </w:r>
            <w:r w:rsidR="00C72A2D" w:rsidRPr="00E66E8C">
              <w:rPr>
                <w:bCs/>
                <w:iCs/>
                <w:color w:val="000000" w:themeColor="text1"/>
              </w:rPr>
              <w:t xml:space="preserve">(alin. (6^1) și (6^2) ) </w:t>
            </w:r>
            <w:r w:rsidRPr="00E66E8C">
              <w:rPr>
                <w:bCs/>
                <w:iCs/>
                <w:color w:val="000000" w:themeColor="text1"/>
              </w:rPr>
              <w:t>la art</w:t>
            </w:r>
            <w:r w:rsidR="00C72A2D" w:rsidRPr="00E66E8C">
              <w:rPr>
                <w:bCs/>
                <w:iCs/>
                <w:color w:val="000000" w:themeColor="text1"/>
              </w:rPr>
              <w:t xml:space="preserve">. </w:t>
            </w:r>
            <w:r w:rsidRPr="00E66E8C">
              <w:rPr>
                <w:bCs/>
                <w:iCs/>
                <w:color w:val="000000" w:themeColor="text1"/>
              </w:rPr>
              <w:t>16 pentru a introduce masuri de respectare si constientizare a importantei prevederilor prezentei ordonante, este imperios necesar a alatura si sanctiuni la adresa acelor operatori ce nu inteleg sa respecte modalitatea , cuprinsul si instructiunile aferente procedurii de incarcare a datelor in vederea verificarii si determinarii sumelor solicitate a fi decontate de la bugetul statului</w:t>
            </w:r>
            <w:r w:rsidR="00C72A2D" w:rsidRPr="00E66E8C">
              <w:rPr>
                <w:bCs/>
                <w:iCs/>
                <w:color w:val="000000" w:themeColor="text1"/>
              </w:rPr>
              <w:t>. Ca urmare a introducerii acestor doi alineate, este necesară modificarea corespunzătoare și a alineatului (8) a art. 16, prevederile alin. (8) reglementând completarea cu dreptul comun în materie a contravențiilor reglementate de Ordonanța de urgență a Guvernului nr. 27/2022;</w:t>
            </w:r>
          </w:p>
          <w:p w14:paraId="5DFE8945" w14:textId="7F0B2D33" w:rsidR="0029197B" w:rsidRDefault="00511316" w:rsidP="0029197B">
            <w:pPr>
              <w:autoSpaceDE w:val="0"/>
              <w:jc w:val="both"/>
              <w:rPr>
                <w:bCs/>
                <w:iCs/>
                <w:color w:val="000000" w:themeColor="text1"/>
              </w:rPr>
            </w:pPr>
            <w:r w:rsidRPr="00E66E8C">
              <w:rPr>
                <w:bCs/>
                <w:iCs/>
                <w:color w:val="000000" w:themeColor="text1"/>
              </w:rPr>
              <w:t xml:space="preserve">- </w:t>
            </w:r>
            <w:r w:rsidR="00EC73CA" w:rsidRPr="00E66E8C">
              <w:rPr>
                <w:bCs/>
                <w:iCs/>
                <w:color w:val="000000" w:themeColor="text1"/>
              </w:rPr>
              <w:t xml:space="preserve">modificarea și completarea anexei nr. 5 în vederea corectării unor </w:t>
            </w:r>
            <w:r w:rsidR="00A1498D" w:rsidRPr="00E66E8C">
              <w:rPr>
                <w:bCs/>
                <w:iCs/>
                <w:color w:val="000000" w:themeColor="text1"/>
              </w:rPr>
              <w:t>elemente</w:t>
            </w:r>
            <w:r w:rsidR="00EC73CA" w:rsidRPr="00E66E8C">
              <w:rPr>
                <w:bCs/>
                <w:iCs/>
                <w:color w:val="000000" w:themeColor="text1"/>
              </w:rPr>
              <w:t xml:space="preserve"> </w:t>
            </w:r>
            <w:r w:rsidR="00953C45" w:rsidRPr="00E66E8C">
              <w:rPr>
                <w:bCs/>
                <w:iCs/>
                <w:color w:val="000000" w:themeColor="text1"/>
              </w:rPr>
              <w:t xml:space="preserve">discutate și aprobate </w:t>
            </w:r>
            <w:r w:rsidR="00A1498D" w:rsidRPr="00E66E8C">
              <w:rPr>
                <w:bCs/>
                <w:iCs/>
                <w:color w:val="000000" w:themeColor="text1"/>
              </w:rPr>
              <w:t xml:space="preserve">în procesul de elaborare al </w:t>
            </w:r>
            <w:r w:rsidR="00CD5507" w:rsidRPr="00E66E8C">
              <w:rPr>
                <w:bCs/>
                <w:iCs/>
                <w:color w:val="000000" w:themeColor="text1"/>
              </w:rPr>
              <w:t xml:space="preserve">Ordonanței de urgență a Guvernului </w:t>
            </w:r>
            <w:r w:rsidR="00A1498D" w:rsidRPr="00E66E8C">
              <w:rPr>
                <w:bCs/>
                <w:iCs/>
                <w:color w:val="000000" w:themeColor="text1"/>
              </w:rPr>
              <w:t>nr. 27/2022 însă neincluse din eroare în forma finală a actului normativ precum și în vederea clarificării modului de calcul și a simplificării modului de repartizare a cantităților de gaze naturale</w:t>
            </w:r>
            <w:r w:rsidR="002A6AD1" w:rsidRPr="00E66E8C">
              <w:rPr>
                <w:bCs/>
                <w:iCs/>
                <w:color w:val="000000" w:themeColor="text1"/>
              </w:rPr>
              <w:t>;</w:t>
            </w:r>
          </w:p>
          <w:p w14:paraId="20BE2758" w14:textId="498E6A66" w:rsidR="00FD7B61" w:rsidRPr="00E66E8C" w:rsidRDefault="0029197B" w:rsidP="00E66E8C">
            <w:pPr>
              <w:autoSpaceDE w:val="0"/>
              <w:jc w:val="both"/>
              <w:rPr>
                <w:color w:val="000000" w:themeColor="text1"/>
              </w:rPr>
            </w:pPr>
            <w:r w:rsidRPr="00E66E8C">
              <w:rPr>
                <w:bCs/>
                <w:iCs/>
                <w:color w:val="000000" w:themeColor="text1"/>
              </w:rPr>
              <w:t xml:space="preserve">-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rectificării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unor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erori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materiale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în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cadrul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Anexei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6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în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care se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detaliază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modul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de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calcul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al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venitului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suplimentar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realizat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de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producătorii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de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energie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electrică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rezultat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din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diferenţa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dintre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venitul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net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mediu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lunar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unitar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de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vânzare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a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energiei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electrice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tranzacţionate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şi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preţul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de 450 de lei/MWh,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prin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eliminarea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referirilor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 xml:space="preserve"> la CN </w:t>
            </w:r>
            <w:proofErr w:type="spellStart"/>
            <w:r w:rsidRPr="00E66E8C">
              <w:rPr>
                <w:rFonts w:eastAsiaTheme="minorHAnsi"/>
                <w:kern w:val="0"/>
                <w:lang w:val="en-US" w:eastAsia="en-US"/>
              </w:rPr>
              <w:t>Transelectrica</w:t>
            </w:r>
            <w:proofErr w:type="spellEnd"/>
            <w:r w:rsidRPr="00E66E8C">
              <w:rPr>
                <w:rFonts w:eastAsiaTheme="minorHAnsi"/>
                <w:kern w:val="0"/>
                <w:lang w:val="en-US" w:eastAsia="en-US"/>
              </w:rPr>
              <w:t>.</w:t>
            </w:r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, precum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și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precizarea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indicatorilor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corecți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de la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anexa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nr. 6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Secțiunea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a 3-a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articolul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5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poziția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2 din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tabel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,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paragraful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2 (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fiind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trecut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în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mod </w:t>
            </w:r>
            <w:proofErr w:type="spellStart"/>
            <w:r w:rsidR="00CD5507" w:rsidRPr="00E66E8C">
              <w:rPr>
                <w:rFonts w:eastAsiaTheme="minorHAnsi"/>
                <w:kern w:val="0"/>
                <w:lang w:val="en-US" w:eastAsia="en-US"/>
              </w:rPr>
              <w:t>eronat</w:t>
            </w:r>
            <w:proofErr w:type="spellEnd"/>
            <w:r w:rsidR="00CD5507" w:rsidRPr="00E66E8C">
              <w:rPr>
                <w:rFonts w:eastAsiaTheme="minorHAnsi"/>
                <w:kern w:val="0"/>
                <w:lang w:val="en-US" w:eastAsia="en-US"/>
              </w:rPr>
              <w:t xml:space="preserve"> C</w:t>
            </w:r>
            <w:r w:rsidR="00CD5507" w:rsidRPr="00E66E8C">
              <w:rPr>
                <w:rFonts w:eastAsiaTheme="minorHAnsi"/>
                <w:kern w:val="0"/>
                <w:vertAlign w:val="subscript"/>
                <w:lang w:val="en-US" w:eastAsia="en-US"/>
              </w:rPr>
              <w:t xml:space="preserve">l </w:t>
            </w:r>
            <w:r w:rsidR="002A6AD1" w:rsidRPr="00E66E8C">
              <w:rPr>
                <w:rFonts w:eastAsiaTheme="minorHAnsi"/>
                <w:kern w:val="0"/>
                <w:vertAlign w:val="subscript"/>
                <w:lang w:val="en-US" w:eastAsia="en-US"/>
              </w:rPr>
              <w:t>TEL</w:t>
            </w:r>
            <w:r w:rsidR="002A6AD1" w:rsidRPr="00E66E8C">
              <w:rPr>
                <w:rFonts w:eastAsiaTheme="minorHAnsi"/>
                <w:kern w:val="0"/>
                <w:lang w:val="en-US" w:eastAsia="en-US"/>
              </w:rPr>
              <w:t xml:space="preserve"> </w:t>
            </w:r>
            <w:proofErr w:type="spellStart"/>
            <w:r w:rsidR="002A6AD1" w:rsidRPr="00E66E8C">
              <w:rPr>
                <w:rFonts w:eastAsiaTheme="minorHAnsi"/>
                <w:kern w:val="0"/>
                <w:lang w:val="en-US" w:eastAsia="en-US"/>
              </w:rPr>
              <w:t>în</w:t>
            </w:r>
            <w:proofErr w:type="spellEnd"/>
            <w:r w:rsidR="002A6AD1" w:rsidRPr="00E66E8C">
              <w:rPr>
                <w:rFonts w:eastAsiaTheme="minorHAnsi"/>
                <w:kern w:val="0"/>
                <w:lang w:val="en-US" w:eastAsia="en-US"/>
              </w:rPr>
              <w:t xml:space="preserve"> loc de C</w:t>
            </w:r>
            <w:r w:rsidR="002A6AD1" w:rsidRPr="00E66E8C">
              <w:rPr>
                <w:rFonts w:eastAsiaTheme="minorHAnsi"/>
                <w:kern w:val="0"/>
                <w:vertAlign w:val="subscript"/>
                <w:lang w:val="en-US" w:eastAsia="en-US"/>
              </w:rPr>
              <w:t>l CPT</w:t>
            </w:r>
            <w:r w:rsidR="00CD5507" w:rsidRPr="00E66E8C">
              <w:rPr>
                <w:rFonts w:eastAsiaTheme="minorHAnsi"/>
                <w:kern w:val="0"/>
                <w:lang w:val="en-US" w:eastAsia="en-US"/>
              </w:rPr>
              <w:t>).</w:t>
            </w:r>
            <w:r w:rsidR="000C5805" w:rsidRPr="00E66E8C">
              <w:rPr>
                <w:color w:val="000000" w:themeColor="text1"/>
              </w:rPr>
              <w:t xml:space="preserve"> </w:t>
            </w:r>
          </w:p>
        </w:tc>
      </w:tr>
      <w:tr w:rsidR="009A649C" w:rsidRPr="00E66E8C" w14:paraId="542187C1" w14:textId="77777777" w:rsidTr="00A411DC">
        <w:tc>
          <w:tcPr>
            <w:tcW w:w="2898" w:type="dxa"/>
          </w:tcPr>
          <w:p w14:paraId="0011F1C4" w14:textId="77777777" w:rsidR="006827C9" w:rsidRPr="00E66E8C" w:rsidRDefault="00B04B1A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lastRenderedPageBreak/>
              <w:t>3. Alte informaţii</w:t>
            </w:r>
          </w:p>
        </w:tc>
        <w:tc>
          <w:tcPr>
            <w:tcW w:w="7020" w:type="dxa"/>
            <w:gridSpan w:val="7"/>
          </w:tcPr>
          <w:p w14:paraId="4B749FC1" w14:textId="67FFB486" w:rsidR="006827C9" w:rsidRPr="00E66E8C" w:rsidRDefault="004D5CCA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Nu este cazul</w:t>
            </w:r>
          </w:p>
        </w:tc>
      </w:tr>
      <w:tr w:rsidR="009A649C" w:rsidRPr="00E66E8C" w14:paraId="3039CD39" w14:textId="77777777" w:rsidTr="00A411DC">
        <w:tc>
          <w:tcPr>
            <w:tcW w:w="9918" w:type="dxa"/>
            <w:gridSpan w:val="8"/>
          </w:tcPr>
          <w:p w14:paraId="3E48067A" w14:textId="77777777" w:rsidR="000A1CCA" w:rsidRPr="00E66E8C" w:rsidRDefault="000A1CCA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</w:p>
          <w:p w14:paraId="2561DA05" w14:textId="20A44E5C" w:rsidR="00B04B1A" w:rsidRPr="00E66E8C" w:rsidRDefault="00B04B1A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iCs/>
                <w:color w:val="000000" w:themeColor="text1"/>
                <w:lang w:eastAsia="ro-RO"/>
              </w:rPr>
              <w:t>Secţiunea a 3-a</w:t>
            </w:r>
          </w:p>
          <w:p w14:paraId="1E190CB8" w14:textId="77777777" w:rsidR="00B41688" w:rsidRDefault="00B04B1A" w:rsidP="00E66E8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iCs/>
                <w:color w:val="000000" w:themeColor="text1"/>
                <w:lang w:eastAsia="ro-RO"/>
              </w:rPr>
              <w:t>Impactul socio-economic al prezentului act normativ</w:t>
            </w:r>
          </w:p>
          <w:p w14:paraId="35F5C2AA" w14:textId="4209BC65" w:rsidR="000A1CCA" w:rsidRPr="00E66E8C" w:rsidRDefault="000A1CCA" w:rsidP="00E66E8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</w:p>
        </w:tc>
      </w:tr>
      <w:tr w:rsidR="009A649C" w:rsidRPr="00E66E8C" w14:paraId="008B3694" w14:textId="77777777" w:rsidTr="00A411DC">
        <w:tc>
          <w:tcPr>
            <w:tcW w:w="2898" w:type="dxa"/>
          </w:tcPr>
          <w:p w14:paraId="3482D8E7" w14:textId="77777777" w:rsidR="006827C9" w:rsidRPr="00E66E8C" w:rsidRDefault="00B04B1A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1. Impactul macroeconomic</w:t>
            </w:r>
          </w:p>
        </w:tc>
        <w:tc>
          <w:tcPr>
            <w:tcW w:w="7020" w:type="dxa"/>
            <w:gridSpan w:val="7"/>
          </w:tcPr>
          <w:p w14:paraId="1AC7DD8D" w14:textId="7CA935D4" w:rsidR="006827C9" w:rsidRPr="00E66E8C" w:rsidRDefault="00B04B1A" w:rsidP="009A649C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Impactul este favorabil prin </w:t>
            </w:r>
            <w:r w:rsidR="00AA66C4" w:rsidRPr="00E66E8C">
              <w:rPr>
                <w:color w:val="000000" w:themeColor="text1"/>
              </w:rPr>
              <w:t xml:space="preserve">acordarea unei scheme de sprijin pentru consumatorii casnici </w:t>
            </w:r>
            <w:r w:rsidR="00693759" w:rsidRPr="00E66E8C">
              <w:rPr>
                <w:color w:val="000000" w:themeColor="text1"/>
              </w:rPr>
              <w:t>ș</w:t>
            </w:r>
            <w:r w:rsidR="00AA66C4" w:rsidRPr="00E66E8C">
              <w:rPr>
                <w:color w:val="000000" w:themeColor="text1"/>
              </w:rPr>
              <w:t xml:space="preserve">i non-casnici, </w:t>
            </w:r>
            <w:r w:rsidR="00693759" w:rsidRPr="00E66E8C">
              <w:rPr>
                <w:color w:val="000000" w:themeColor="text1"/>
              </w:rPr>
              <w:t>î</w:t>
            </w:r>
            <w:r w:rsidR="00AA66C4" w:rsidRPr="00E66E8C">
              <w:rPr>
                <w:color w:val="000000" w:themeColor="text1"/>
              </w:rPr>
              <w:t xml:space="preserve">n vederea asigurării în plan economic și social a unui nivel ridicat de protecție a vieții, sănătății și </w:t>
            </w:r>
            <w:r w:rsidR="00AA66C4" w:rsidRPr="00E66E8C">
              <w:rPr>
                <w:color w:val="000000" w:themeColor="text1"/>
              </w:rPr>
              <w:lastRenderedPageBreak/>
              <w:t>securității consumatorilor, precum și garant</w:t>
            </w:r>
            <w:r w:rsidR="00E63DB2" w:rsidRPr="00E66E8C">
              <w:rPr>
                <w:color w:val="000000" w:themeColor="text1"/>
              </w:rPr>
              <w:t>ă</w:t>
            </w:r>
            <w:r w:rsidR="00AA66C4" w:rsidRPr="00E66E8C">
              <w:rPr>
                <w:color w:val="000000" w:themeColor="text1"/>
              </w:rPr>
              <w:t>rii dreptului acestora cu privire la continuarea activit</w:t>
            </w:r>
            <w:r w:rsidR="00693759" w:rsidRPr="00E66E8C">
              <w:rPr>
                <w:color w:val="000000" w:themeColor="text1"/>
              </w:rPr>
              <w:t>ăț</w:t>
            </w:r>
            <w:r w:rsidR="00AA66C4" w:rsidRPr="00E66E8C">
              <w:rPr>
                <w:color w:val="000000" w:themeColor="text1"/>
              </w:rPr>
              <w:t>i</w:t>
            </w:r>
            <w:r w:rsidR="00E827F2" w:rsidRPr="00E66E8C">
              <w:rPr>
                <w:color w:val="000000" w:themeColor="text1"/>
              </w:rPr>
              <w:t>lor economice</w:t>
            </w:r>
            <w:r w:rsidR="00AA66C4" w:rsidRPr="00E66E8C">
              <w:rPr>
                <w:color w:val="000000" w:themeColor="text1"/>
              </w:rPr>
              <w:t xml:space="preserve"> </w:t>
            </w:r>
            <w:r w:rsidR="00693759" w:rsidRPr="00E66E8C">
              <w:rPr>
                <w:color w:val="000000" w:themeColor="text1"/>
              </w:rPr>
              <w:t>ș</w:t>
            </w:r>
            <w:r w:rsidR="00AA66C4" w:rsidRPr="00E66E8C">
              <w:rPr>
                <w:color w:val="000000" w:themeColor="text1"/>
              </w:rPr>
              <w:t xml:space="preserve">i a traiului de zi cu zi </w:t>
            </w:r>
            <w:r w:rsidR="00693759" w:rsidRPr="00E66E8C">
              <w:rPr>
                <w:color w:val="000000" w:themeColor="text1"/>
              </w:rPr>
              <w:t>î</w:t>
            </w:r>
            <w:r w:rsidR="00AA66C4" w:rsidRPr="00E66E8C">
              <w:rPr>
                <w:color w:val="000000" w:themeColor="text1"/>
              </w:rPr>
              <w:t>n condi</w:t>
            </w:r>
            <w:r w:rsidR="004D5CCA" w:rsidRPr="00E66E8C">
              <w:rPr>
                <w:color w:val="000000" w:themeColor="text1"/>
              </w:rPr>
              <w:t>ț</w:t>
            </w:r>
            <w:r w:rsidR="00AA66C4" w:rsidRPr="00E66E8C">
              <w:rPr>
                <w:color w:val="000000" w:themeColor="text1"/>
              </w:rPr>
              <w:t>ii decente</w:t>
            </w:r>
            <w:r w:rsidRPr="00E66E8C">
              <w:rPr>
                <w:color w:val="000000" w:themeColor="text1"/>
              </w:rPr>
              <w:t>.</w:t>
            </w:r>
          </w:p>
        </w:tc>
      </w:tr>
      <w:tr w:rsidR="009A649C" w:rsidRPr="00E66E8C" w14:paraId="7D0F6D4B" w14:textId="77777777" w:rsidTr="00A411DC">
        <w:tc>
          <w:tcPr>
            <w:tcW w:w="2898" w:type="dxa"/>
          </w:tcPr>
          <w:p w14:paraId="77B982C3" w14:textId="6D76EDC3" w:rsidR="00B04B1A" w:rsidRPr="00E66E8C" w:rsidRDefault="00B04B1A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lastRenderedPageBreak/>
              <w:t>1¹</w:t>
            </w:r>
            <w:r w:rsidR="002B221A" w:rsidRPr="00E66E8C">
              <w:rPr>
                <w:b/>
                <w:color w:val="000000" w:themeColor="text1"/>
              </w:rPr>
              <w:t xml:space="preserve">. </w:t>
            </w:r>
            <w:r w:rsidRPr="00E66E8C">
              <w:rPr>
                <w:b/>
                <w:color w:val="000000" w:themeColor="text1"/>
              </w:rPr>
              <w:t>Impactul</w:t>
            </w:r>
          </w:p>
          <w:p w14:paraId="22DA591F" w14:textId="46FD559F" w:rsidR="006827C9" w:rsidRPr="00E66E8C" w:rsidRDefault="00B04B1A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 xml:space="preserve">asupra mediului concurenţial </w:t>
            </w:r>
            <w:r w:rsidR="00586239" w:rsidRPr="00E66E8C">
              <w:rPr>
                <w:b/>
                <w:color w:val="000000" w:themeColor="text1"/>
              </w:rPr>
              <w:t>ș</w:t>
            </w:r>
            <w:r w:rsidRPr="00E66E8C">
              <w:rPr>
                <w:b/>
                <w:color w:val="000000" w:themeColor="text1"/>
              </w:rPr>
              <w:t>i domeniul ajutoarelor de stat</w:t>
            </w:r>
          </w:p>
        </w:tc>
        <w:tc>
          <w:tcPr>
            <w:tcW w:w="7020" w:type="dxa"/>
            <w:gridSpan w:val="7"/>
          </w:tcPr>
          <w:p w14:paraId="2D99B708" w14:textId="225DD453" w:rsidR="006827C9" w:rsidRPr="00E66E8C" w:rsidRDefault="006827C9" w:rsidP="009A649C">
            <w:pPr>
              <w:rPr>
                <w:color w:val="000000" w:themeColor="text1"/>
              </w:rPr>
            </w:pPr>
          </w:p>
        </w:tc>
      </w:tr>
      <w:tr w:rsidR="009A649C" w:rsidRPr="00E66E8C" w14:paraId="33BD62A0" w14:textId="77777777" w:rsidTr="00A411DC">
        <w:tc>
          <w:tcPr>
            <w:tcW w:w="2898" w:type="dxa"/>
          </w:tcPr>
          <w:p w14:paraId="53E0C9B6" w14:textId="77777777" w:rsidR="006827C9" w:rsidRPr="00E66E8C" w:rsidRDefault="00F8243B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2. Impactul asupra mediului de afaceri</w:t>
            </w:r>
          </w:p>
        </w:tc>
        <w:tc>
          <w:tcPr>
            <w:tcW w:w="7020" w:type="dxa"/>
            <w:gridSpan w:val="7"/>
          </w:tcPr>
          <w:p w14:paraId="5DD57848" w14:textId="77777777" w:rsidR="006827C9" w:rsidRDefault="00442100" w:rsidP="00E66E8C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</w:t>
            </w:r>
            <w:r w:rsidR="00744712" w:rsidRPr="00E66E8C">
              <w:rPr>
                <w:color w:val="000000" w:themeColor="text1"/>
              </w:rPr>
              <w:t>rezentul act normativ v</w:t>
            </w:r>
            <w:r w:rsidRPr="00E66E8C">
              <w:rPr>
                <w:color w:val="000000" w:themeColor="text1"/>
              </w:rPr>
              <w:t>a</w:t>
            </w:r>
            <w:r w:rsidR="00744712" w:rsidRPr="00E66E8C">
              <w:rPr>
                <w:color w:val="000000" w:themeColor="text1"/>
              </w:rPr>
              <w:t xml:space="preserve"> </w:t>
            </w:r>
            <w:r w:rsidR="008212E0" w:rsidRPr="00E66E8C">
              <w:rPr>
                <w:color w:val="000000" w:themeColor="text1"/>
              </w:rPr>
              <w:t>sprijin</w:t>
            </w:r>
            <w:r w:rsidR="00693759" w:rsidRPr="00E66E8C">
              <w:rPr>
                <w:color w:val="000000" w:themeColor="text1"/>
              </w:rPr>
              <w:t>i</w:t>
            </w:r>
            <w:r w:rsidR="008212E0" w:rsidRPr="00E66E8C">
              <w:rPr>
                <w:color w:val="000000" w:themeColor="text1"/>
              </w:rPr>
              <w:t xml:space="preserve"> agen</w:t>
            </w:r>
            <w:r w:rsidR="00693759" w:rsidRPr="00E66E8C">
              <w:rPr>
                <w:color w:val="000000" w:themeColor="text1"/>
              </w:rPr>
              <w:t>ț</w:t>
            </w:r>
            <w:r w:rsidR="008212E0" w:rsidRPr="00E66E8C">
              <w:rPr>
                <w:color w:val="000000" w:themeColor="text1"/>
              </w:rPr>
              <w:t>ii economici care se confrunt</w:t>
            </w:r>
            <w:r w:rsidR="00693759" w:rsidRPr="00E66E8C">
              <w:rPr>
                <w:color w:val="000000" w:themeColor="text1"/>
              </w:rPr>
              <w:t>ă</w:t>
            </w:r>
            <w:r w:rsidR="008212E0" w:rsidRPr="00E66E8C">
              <w:rPr>
                <w:color w:val="000000" w:themeColor="text1"/>
              </w:rPr>
              <w:t xml:space="preserve"> cu cre</w:t>
            </w:r>
            <w:r w:rsidR="00693759" w:rsidRPr="00E66E8C">
              <w:rPr>
                <w:color w:val="000000" w:themeColor="text1"/>
              </w:rPr>
              <w:t>ș</w:t>
            </w:r>
            <w:r w:rsidR="008212E0" w:rsidRPr="00E66E8C">
              <w:rPr>
                <w:color w:val="000000" w:themeColor="text1"/>
              </w:rPr>
              <w:t>terile accentuate de pre</w:t>
            </w:r>
            <w:r w:rsidR="00693759" w:rsidRPr="00E66E8C">
              <w:rPr>
                <w:color w:val="000000" w:themeColor="text1"/>
              </w:rPr>
              <w:t>ț</w:t>
            </w:r>
            <w:r w:rsidR="008212E0" w:rsidRPr="00E66E8C">
              <w:rPr>
                <w:color w:val="000000" w:themeColor="text1"/>
              </w:rPr>
              <w:t>uri la energie electric</w:t>
            </w:r>
            <w:r w:rsidR="00693759" w:rsidRPr="00E66E8C">
              <w:rPr>
                <w:color w:val="000000" w:themeColor="text1"/>
              </w:rPr>
              <w:t>ă</w:t>
            </w:r>
            <w:r w:rsidR="008212E0" w:rsidRPr="00E66E8C">
              <w:rPr>
                <w:color w:val="000000" w:themeColor="text1"/>
              </w:rPr>
              <w:t xml:space="preserve"> </w:t>
            </w:r>
            <w:r w:rsidR="00693759" w:rsidRPr="00E66E8C">
              <w:rPr>
                <w:color w:val="000000" w:themeColor="text1"/>
              </w:rPr>
              <w:t>ș</w:t>
            </w:r>
            <w:r w:rsidR="008212E0" w:rsidRPr="00E66E8C">
              <w:rPr>
                <w:color w:val="000000" w:themeColor="text1"/>
              </w:rPr>
              <w:t xml:space="preserve">i gaze naturale </w:t>
            </w:r>
            <w:r w:rsidR="00693759" w:rsidRPr="00E66E8C">
              <w:rPr>
                <w:color w:val="000000" w:themeColor="text1"/>
              </w:rPr>
              <w:t>ș</w:t>
            </w:r>
            <w:r w:rsidR="008212E0" w:rsidRPr="00E66E8C">
              <w:rPr>
                <w:color w:val="000000" w:themeColor="text1"/>
              </w:rPr>
              <w:t>i vor asigura sustenabilitatea economiei naționale, evit</w:t>
            </w:r>
            <w:r w:rsidR="00693759" w:rsidRPr="00E66E8C">
              <w:rPr>
                <w:color w:val="000000" w:themeColor="text1"/>
              </w:rPr>
              <w:t>â</w:t>
            </w:r>
            <w:r w:rsidR="008212E0" w:rsidRPr="00E66E8C">
              <w:rPr>
                <w:color w:val="000000" w:themeColor="text1"/>
              </w:rPr>
              <w:t>ndu-se disfuncționalități majore în lanțurile de producție și distribuție pe toate segmentele de piață, de la industria prelucrătoare până la piața de consum.</w:t>
            </w:r>
          </w:p>
          <w:p w14:paraId="71A72182" w14:textId="4680FF78" w:rsidR="00005D7D" w:rsidRPr="00E66E8C" w:rsidRDefault="00005D7D" w:rsidP="00E66E8C">
            <w:pPr>
              <w:jc w:val="both"/>
              <w:rPr>
                <w:color w:val="000000" w:themeColor="text1"/>
              </w:rPr>
            </w:pPr>
          </w:p>
        </w:tc>
      </w:tr>
      <w:tr w:rsidR="009A649C" w:rsidRPr="00E66E8C" w14:paraId="09E15ABF" w14:textId="77777777" w:rsidTr="00A411DC">
        <w:tc>
          <w:tcPr>
            <w:tcW w:w="2898" w:type="dxa"/>
          </w:tcPr>
          <w:p w14:paraId="037D6B45" w14:textId="347276A5" w:rsidR="00B04B1A" w:rsidRPr="00E66E8C" w:rsidRDefault="00F8243B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2</w:t>
            </w:r>
            <w:r w:rsidRPr="00E66E8C">
              <w:rPr>
                <w:b/>
                <w:color w:val="000000" w:themeColor="text1"/>
                <w:vertAlign w:val="superscript"/>
              </w:rPr>
              <w:t>1</w:t>
            </w:r>
            <w:r w:rsidR="002B221A" w:rsidRPr="00E66E8C">
              <w:rPr>
                <w:b/>
                <w:color w:val="000000" w:themeColor="text1"/>
              </w:rPr>
              <w:t xml:space="preserve">. </w:t>
            </w:r>
            <w:r w:rsidRPr="00E66E8C">
              <w:rPr>
                <w:b/>
                <w:color w:val="000000" w:themeColor="text1"/>
              </w:rPr>
              <w:t>Impactul asupra sarcinilor administrative</w:t>
            </w:r>
          </w:p>
        </w:tc>
        <w:tc>
          <w:tcPr>
            <w:tcW w:w="7020" w:type="dxa"/>
            <w:gridSpan w:val="7"/>
          </w:tcPr>
          <w:p w14:paraId="52ACB3F7" w14:textId="77777777" w:rsidR="00B04B1A" w:rsidRDefault="008212E0" w:rsidP="009A649C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Prezentul act normativ are impact la nivelul sarcinilor administrative derulate la nivelul Ministerului Energiei</w:t>
            </w:r>
          </w:p>
          <w:p w14:paraId="7D88F30E" w14:textId="1A15D583" w:rsidR="00005D7D" w:rsidRPr="00E66E8C" w:rsidRDefault="00005D7D" w:rsidP="009A649C">
            <w:pPr>
              <w:jc w:val="both"/>
              <w:rPr>
                <w:color w:val="000000" w:themeColor="text1"/>
              </w:rPr>
            </w:pPr>
          </w:p>
        </w:tc>
      </w:tr>
      <w:tr w:rsidR="009A649C" w:rsidRPr="00E66E8C" w14:paraId="161FC003" w14:textId="77777777" w:rsidTr="00A411DC">
        <w:tc>
          <w:tcPr>
            <w:tcW w:w="2898" w:type="dxa"/>
          </w:tcPr>
          <w:p w14:paraId="25631234" w14:textId="43C84107" w:rsidR="00F8243B" w:rsidRPr="00E66E8C" w:rsidRDefault="00F8243B" w:rsidP="009A649C">
            <w:pPr>
              <w:shd w:val="clear" w:color="auto" w:fill="FFFFFF"/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2</w:t>
            </w:r>
            <w:r w:rsidRPr="00E66E8C">
              <w:rPr>
                <w:b/>
                <w:color w:val="000000" w:themeColor="text1"/>
                <w:vertAlign w:val="superscript"/>
              </w:rPr>
              <w:t>2</w:t>
            </w:r>
            <w:r w:rsidR="002B221A" w:rsidRPr="00E66E8C">
              <w:rPr>
                <w:b/>
                <w:color w:val="000000" w:themeColor="text1"/>
              </w:rPr>
              <w:t>.</w:t>
            </w:r>
            <w:r w:rsidRPr="00E66E8C">
              <w:rPr>
                <w:b/>
                <w:color w:val="000000" w:themeColor="text1"/>
              </w:rPr>
              <w:t>Impactul asupra</w:t>
            </w:r>
          </w:p>
          <w:p w14:paraId="64BE0CEF" w14:textId="2905EF34" w:rsidR="00B04B1A" w:rsidRPr="00E66E8C" w:rsidRDefault="004D5CCA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î</w:t>
            </w:r>
            <w:r w:rsidR="00F8243B" w:rsidRPr="00E66E8C">
              <w:rPr>
                <w:b/>
                <w:color w:val="000000" w:themeColor="text1"/>
              </w:rPr>
              <w:t>ntreprinderilor mici şi mijlocii</w:t>
            </w:r>
          </w:p>
        </w:tc>
        <w:tc>
          <w:tcPr>
            <w:tcW w:w="7020" w:type="dxa"/>
            <w:gridSpan w:val="7"/>
          </w:tcPr>
          <w:p w14:paraId="6A0327EE" w14:textId="459E3B3F" w:rsidR="00005D7D" w:rsidRPr="00E66E8C" w:rsidRDefault="00AB526B" w:rsidP="00442100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Prezentul act normativ are impact favorabil </w:t>
            </w:r>
            <w:r w:rsidR="00FA1A6F" w:rsidRPr="00E66E8C">
              <w:rPr>
                <w:color w:val="000000" w:themeColor="text1"/>
              </w:rPr>
              <w:t xml:space="preserve">asupra întreprinderilor mici şi mijlocii prin acordare unui sprijin IMM-urilor care </w:t>
            </w:r>
            <w:r w:rsidR="00D94B5E" w:rsidRPr="00E66E8C">
              <w:rPr>
                <w:color w:val="000000" w:themeColor="text1"/>
              </w:rPr>
              <w:t xml:space="preserve">se confruntă </w:t>
            </w:r>
            <w:r w:rsidR="00FA1A6F" w:rsidRPr="00E66E8C">
              <w:rPr>
                <w:color w:val="000000" w:themeColor="text1"/>
              </w:rPr>
              <w:t>cu creșterile accentuate de prețuri la energie electrică și gaze naturale</w:t>
            </w:r>
            <w:r w:rsidR="009A649C" w:rsidRPr="00E66E8C">
              <w:rPr>
                <w:color w:val="000000" w:themeColor="text1"/>
              </w:rPr>
              <w:t>.</w:t>
            </w:r>
          </w:p>
        </w:tc>
      </w:tr>
      <w:tr w:rsidR="009A649C" w:rsidRPr="00E66E8C" w14:paraId="7DB0AD51" w14:textId="77777777" w:rsidTr="00A411DC">
        <w:tc>
          <w:tcPr>
            <w:tcW w:w="2898" w:type="dxa"/>
          </w:tcPr>
          <w:p w14:paraId="5B15F1CE" w14:textId="77777777" w:rsidR="00B04B1A" w:rsidRPr="00E66E8C" w:rsidRDefault="00F8243B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3. Impactul social</w:t>
            </w:r>
          </w:p>
        </w:tc>
        <w:tc>
          <w:tcPr>
            <w:tcW w:w="7020" w:type="dxa"/>
            <w:gridSpan w:val="7"/>
          </w:tcPr>
          <w:p w14:paraId="73EA46F2" w14:textId="61744C41" w:rsidR="00005D7D" w:rsidRPr="00E66E8C" w:rsidRDefault="00AB526B" w:rsidP="00442100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Prezentul act normativ are </w:t>
            </w:r>
            <w:r w:rsidR="00D94B5E" w:rsidRPr="00E66E8C">
              <w:rPr>
                <w:color w:val="000000" w:themeColor="text1"/>
              </w:rPr>
              <w:t xml:space="preserve">un </w:t>
            </w:r>
            <w:r w:rsidRPr="00E66E8C">
              <w:rPr>
                <w:color w:val="000000" w:themeColor="text1"/>
              </w:rPr>
              <w:t>impact</w:t>
            </w:r>
            <w:r w:rsidR="00D94B5E" w:rsidRPr="00E66E8C">
              <w:rPr>
                <w:color w:val="000000" w:themeColor="text1"/>
              </w:rPr>
              <w:t xml:space="preserve"> social favorabil deoarece se acordă sprijin pentru plata facturilor la energie electrică  unei catergorii extinse de consumatori casnici pentru a nu fi agravat nivelul de sărăcie energetică.</w:t>
            </w:r>
          </w:p>
        </w:tc>
      </w:tr>
      <w:tr w:rsidR="009A649C" w:rsidRPr="00E66E8C" w14:paraId="27B7630C" w14:textId="77777777" w:rsidTr="00A411DC">
        <w:tc>
          <w:tcPr>
            <w:tcW w:w="2898" w:type="dxa"/>
          </w:tcPr>
          <w:p w14:paraId="7DF602EB" w14:textId="77777777" w:rsidR="00B04B1A" w:rsidRPr="00E66E8C" w:rsidRDefault="00F8243B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4. Impactul asupra mediului</w:t>
            </w:r>
          </w:p>
        </w:tc>
        <w:tc>
          <w:tcPr>
            <w:tcW w:w="7020" w:type="dxa"/>
            <w:gridSpan w:val="7"/>
          </w:tcPr>
          <w:p w14:paraId="61DAF35F" w14:textId="77777777" w:rsidR="00B04B1A" w:rsidRPr="00E66E8C" w:rsidRDefault="00B04B1A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Prezentul act normativ nu se referă la acest subiect.</w:t>
            </w:r>
          </w:p>
        </w:tc>
      </w:tr>
      <w:tr w:rsidR="009A649C" w:rsidRPr="00E66E8C" w14:paraId="01862DC6" w14:textId="77777777" w:rsidTr="00A411DC">
        <w:trPr>
          <w:trHeight w:val="341"/>
        </w:trPr>
        <w:tc>
          <w:tcPr>
            <w:tcW w:w="2898" w:type="dxa"/>
          </w:tcPr>
          <w:p w14:paraId="415F8D8A" w14:textId="77777777" w:rsidR="00B04B1A" w:rsidRPr="00E66E8C" w:rsidRDefault="00F8243B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5. Alte informaţii</w:t>
            </w:r>
          </w:p>
        </w:tc>
        <w:tc>
          <w:tcPr>
            <w:tcW w:w="7020" w:type="dxa"/>
            <w:gridSpan w:val="7"/>
          </w:tcPr>
          <w:p w14:paraId="5C715ECF" w14:textId="77777777" w:rsidR="00B04B1A" w:rsidRPr="00E66E8C" w:rsidRDefault="004D5CCA" w:rsidP="009A649C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Nu este cazul</w:t>
            </w:r>
          </w:p>
          <w:p w14:paraId="09C5BA3B" w14:textId="044EC1E7" w:rsidR="009A649C" w:rsidRPr="00E66E8C" w:rsidRDefault="009A649C" w:rsidP="009A649C">
            <w:pPr>
              <w:jc w:val="both"/>
              <w:rPr>
                <w:color w:val="000000" w:themeColor="text1"/>
              </w:rPr>
            </w:pPr>
          </w:p>
        </w:tc>
      </w:tr>
      <w:tr w:rsidR="009A649C" w:rsidRPr="00E66E8C" w14:paraId="132A2E19" w14:textId="77777777" w:rsidTr="00A411DC">
        <w:tc>
          <w:tcPr>
            <w:tcW w:w="9918" w:type="dxa"/>
            <w:gridSpan w:val="8"/>
          </w:tcPr>
          <w:p w14:paraId="6689C1EA" w14:textId="17FC76F1" w:rsidR="009A649C" w:rsidRDefault="009A649C" w:rsidP="009A649C">
            <w:pPr>
              <w:jc w:val="center"/>
              <w:rPr>
                <w:b/>
                <w:i/>
                <w:color w:val="000000" w:themeColor="text1"/>
                <w:lang w:eastAsia="ro-RO"/>
              </w:rPr>
            </w:pPr>
            <w:bookmarkStart w:id="3" w:name="_Hlk99451697"/>
          </w:p>
          <w:p w14:paraId="1396AB39" w14:textId="044F0544" w:rsidR="00F8243B" w:rsidRPr="00E66E8C" w:rsidRDefault="00F8243B" w:rsidP="009A649C">
            <w:pPr>
              <w:jc w:val="center"/>
              <w:rPr>
                <w:b/>
                <w:i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color w:val="000000" w:themeColor="text1"/>
                <w:lang w:eastAsia="ro-RO"/>
              </w:rPr>
              <w:t>Secţiunea a 4-a</w:t>
            </w:r>
          </w:p>
          <w:p w14:paraId="16335638" w14:textId="77777777" w:rsidR="00F8243B" w:rsidRPr="00E66E8C" w:rsidRDefault="00F8243B" w:rsidP="009A649C">
            <w:pPr>
              <w:jc w:val="center"/>
              <w:rPr>
                <w:b/>
                <w:i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color w:val="000000" w:themeColor="text1"/>
                <w:lang w:eastAsia="ro-RO"/>
              </w:rPr>
              <w:t>Impactul financiar asupra bugetului general consolidat, atât pe termen scurt,</w:t>
            </w:r>
          </w:p>
          <w:p w14:paraId="4A7F5D46" w14:textId="1112CD94" w:rsidR="00B41688" w:rsidRPr="00E66E8C" w:rsidRDefault="00F8243B" w:rsidP="00E66E8C">
            <w:pPr>
              <w:jc w:val="center"/>
              <w:rPr>
                <w:b/>
                <w:i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color w:val="000000" w:themeColor="text1"/>
                <w:lang w:eastAsia="ro-RO"/>
              </w:rPr>
              <w:t>pentru anul curent, cât și pe termen lung (5 ani)</w:t>
            </w:r>
          </w:p>
        </w:tc>
      </w:tr>
      <w:tr w:rsidR="009A649C" w:rsidRPr="00E66E8C" w14:paraId="61F3B4F1" w14:textId="77777777" w:rsidTr="00A411DC">
        <w:tc>
          <w:tcPr>
            <w:tcW w:w="9918" w:type="dxa"/>
            <w:gridSpan w:val="8"/>
          </w:tcPr>
          <w:p w14:paraId="543720D7" w14:textId="77777777" w:rsidR="002854FC" w:rsidRPr="00E66E8C" w:rsidRDefault="002854FC" w:rsidP="009A649C">
            <w:pPr>
              <w:jc w:val="right"/>
              <w:rPr>
                <w:b/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mii lei</w:t>
            </w:r>
          </w:p>
        </w:tc>
      </w:tr>
      <w:tr w:rsidR="009A649C" w:rsidRPr="00E66E8C" w14:paraId="371BDE4D" w14:textId="77777777" w:rsidTr="00A411DC">
        <w:trPr>
          <w:trHeight w:val="359"/>
        </w:trPr>
        <w:tc>
          <w:tcPr>
            <w:tcW w:w="3964" w:type="dxa"/>
            <w:gridSpan w:val="2"/>
            <w:vAlign w:val="center"/>
          </w:tcPr>
          <w:p w14:paraId="5D715D69" w14:textId="77777777" w:rsidR="002854FC" w:rsidRPr="00E66E8C" w:rsidRDefault="002854FC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Indicatori</w:t>
            </w:r>
          </w:p>
        </w:tc>
        <w:tc>
          <w:tcPr>
            <w:tcW w:w="1276" w:type="dxa"/>
            <w:vAlign w:val="center"/>
          </w:tcPr>
          <w:p w14:paraId="61197982" w14:textId="77777777" w:rsidR="002854FC" w:rsidRPr="00E66E8C" w:rsidRDefault="002854FC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Anul curent</w:t>
            </w:r>
          </w:p>
        </w:tc>
        <w:tc>
          <w:tcPr>
            <w:tcW w:w="3508" w:type="dxa"/>
            <w:gridSpan w:val="4"/>
            <w:vAlign w:val="center"/>
          </w:tcPr>
          <w:p w14:paraId="29574D70" w14:textId="77777777" w:rsidR="002854FC" w:rsidRPr="00E66E8C" w:rsidRDefault="002854FC" w:rsidP="009A649C">
            <w:pPr>
              <w:jc w:val="center"/>
              <w:rPr>
                <w:b/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Următorii 4 ani</w:t>
            </w:r>
          </w:p>
        </w:tc>
        <w:tc>
          <w:tcPr>
            <w:tcW w:w="1170" w:type="dxa"/>
            <w:vAlign w:val="center"/>
          </w:tcPr>
          <w:p w14:paraId="15429A08" w14:textId="77777777" w:rsidR="002854FC" w:rsidRPr="00E66E8C" w:rsidRDefault="002854FC" w:rsidP="009A649C">
            <w:pPr>
              <w:jc w:val="center"/>
              <w:rPr>
                <w:b/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Media pe 5 ani</w:t>
            </w:r>
          </w:p>
        </w:tc>
      </w:tr>
      <w:tr w:rsidR="009A649C" w:rsidRPr="00E66E8C" w14:paraId="31DD7416" w14:textId="77777777" w:rsidTr="00A411DC">
        <w:tc>
          <w:tcPr>
            <w:tcW w:w="3964" w:type="dxa"/>
            <w:gridSpan w:val="2"/>
          </w:tcPr>
          <w:p w14:paraId="432C0F0F" w14:textId="77777777" w:rsidR="002854FC" w:rsidRPr="00E66E8C" w:rsidRDefault="002854FC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0C4A792F" w14:textId="77777777" w:rsidR="002854FC" w:rsidRPr="00E66E8C" w:rsidRDefault="002854FC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2</w:t>
            </w:r>
          </w:p>
        </w:tc>
        <w:tc>
          <w:tcPr>
            <w:tcW w:w="1377" w:type="dxa"/>
          </w:tcPr>
          <w:p w14:paraId="2017C589" w14:textId="77777777" w:rsidR="002854FC" w:rsidRPr="00E66E8C" w:rsidRDefault="002854FC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3</w:t>
            </w:r>
          </w:p>
        </w:tc>
        <w:tc>
          <w:tcPr>
            <w:tcW w:w="749" w:type="dxa"/>
          </w:tcPr>
          <w:p w14:paraId="4B01DADB" w14:textId="77777777" w:rsidR="002854FC" w:rsidRPr="00E66E8C" w:rsidRDefault="002854FC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2135E558" w14:textId="77777777" w:rsidR="002854FC" w:rsidRPr="00E66E8C" w:rsidRDefault="002854FC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5</w:t>
            </w:r>
          </w:p>
        </w:tc>
        <w:tc>
          <w:tcPr>
            <w:tcW w:w="673" w:type="dxa"/>
          </w:tcPr>
          <w:p w14:paraId="2BAC1605" w14:textId="77777777" w:rsidR="002854FC" w:rsidRPr="00E66E8C" w:rsidRDefault="002854FC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6</w:t>
            </w:r>
          </w:p>
        </w:tc>
        <w:tc>
          <w:tcPr>
            <w:tcW w:w="1170" w:type="dxa"/>
          </w:tcPr>
          <w:p w14:paraId="03D58860" w14:textId="77777777" w:rsidR="002854FC" w:rsidRPr="00E66E8C" w:rsidRDefault="002854FC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7</w:t>
            </w:r>
          </w:p>
        </w:tc>
      </w:tr>
      <w:tr w:rsidR="009A649C" w:rsidRPr="00E66E8C" w14:paraId="7D1ED133" w14:textId="77777777" w:rsidTr="00A411DC">
        <w:tc>
          <w:tcPr>
            <w:tcW w:w="3964" w:type="dxa"/>
            <w:gridSpan w:val="2"/>
          </w:tcPr>
          <w:p w14:paraId="17BB4616" w14:textId="77777777" w:rsidR="001C4D17" w:rsidRPr="00E66E8C" w:rsidRDefault="001C4D17" w:rsidP="009A6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67C8885" w14:textId="65DBC607" w:rsidR="001C4D17" w:rsidRPr="00E66E8C" w:rsidRDefault="001C4D17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202</w:t>
            </w:r>
            <w:r w:rsidR="00775B1E" w:rsidRPr="00E66E8C">
              <w:rPr>
                <w:color w:val="000000" w:themeColor="text1"/>
              </w:rPr>
              <w:t>2</w:t>
            </w:r>
          </w:p>
        </w:tc>
        <w:tc>
          <w:tcPr>
            <w:tcW w:w="1377" w:type="dxa"/>
          </w:tcPr>
          <w:p w14:paraId="728E1794" w14:textId="74A0DE6B" w:rsidR="001C4D17" w:rsidRPr="00E66E8C" w:rsidRDefault="001C4D17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202</w:t>
            </w:r>
            <w:r w:rsidR="00775B1E" w:rsidRPr="00E66E8C">
              <w:rPr>
                <w:color w:val="000000" w:themeColor="text1"/>
              </w:rPr>
              <w:t>3</w:t>
            </w:r>
          </w:p>
        </w:tc>
        <w:tc>
          <w:tcPr>
            <w:tcW w:w="749" w:type="dxa"/>
          </w:tcPr>
          <w:p w14:paraId="502B6A9F" w14:textId="38188C69" w:rsidR="001C4D17" w:rsidRPr="00E66E8C" w:rsidRDefault="001C4D17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202</w:t>
            </w:r>
            <w:r w:rsidR="00775B1E" w:rsidRPr="00E66E8C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2CA6384B" w14:textId="5215398E" w:rsidR="001C4D17" w:rsidRPr="00E66E8C" w:rsidRDefault="001C4D17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202</w:t>
            </w:r>
            <w:r w:rsidR="00775B1E" w:rsidRPr="00E66E8C">
              <w:rPr>
                <w:color w:val="000000" w:themeColor="text1"/>
              </w:rPr>
              <w:t>5</w:t>
            </w:r>
          </w:p>
        </w:tc>
        <w:tc>
          <w:tcPr>
            <w:tcW w:w="673" w:type="dxa"/>
          </w:tcPr>
          <w:p w14:paraId="7FCA699D" w14:textId="2AF4531C" w:rsidR="001C4D17" w:rsidRPr="00E66E8C" w:rsidRDefault="001C4D17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202</w:t>
            </w:r>
            <w:r w:rsidR="00775B1E" w:rsidRPr="00E66E8C">
              <w:rPr>
                <w:color w:val="000000" w:themeColor="text1"/>
              </w:rPr>
              <w:t>6</w:t>
            </w:r>
          </w:p>
        </w:tc>
        <w:tc>
          <w:tcPr>
            <w:tcW w:w="1170" w:type="dxa"/>
          </w:tcPr>
          <w:p w14:paraId="13429A1C" w14:textId="77777777" w:rsidR="001C4D17" w:rsidRPr="00E66E8C" w:rsidRDefault="001C4D17" w:rsidP="009A649C">
            <w:pPr>
              <w:jc w:val="center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</w:tr>
      <w:tr w:rsidR="009A649C" w:rsidRPr="00E66E8C" w14:paraId="60A0C62F" w14:textId="77777777" w:rsidTr="00A411DC">
        <w:tc>
          <w:tcPr>
            <w:tcW w:w="3964" w:type="dxa"/>
            <w:gridSpan w:val="2"/>
          </w:tcPr>
          <w:p w14:paraId="224C981A" w14:textId="77777777" w:rsidR="002854FC" w:rsidRPr="00E66E8C" w:rsidRDefault="002854FC" w:rsidP="009A649C">
            <w:pPr>
              <w:pStyle w:val="BodyText"/>
              <w:tabs>
                <w:tab w:val="left" w:pos="1080"/>
              </w:tabs>
              <w:spacing w:after="0" w:line="276" w:lineRule="auto"/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1. Modificări ale veniturilor bugetare, plus/minus, din care:</w:t>
            </w:r>
          </w:p>
          <w:p w14:paraId="6F73D99C" w14:textId="3B0D9C6C" w:rsidR="002854FC" w:rsidRPr="00E66E8C" w:rsidRDefault="002854FC" w:rsidP="009A649C">
            <w:pPr>
              <w:pStyle w:val="BodyText"/>
              <w:tabs>
                <w:tab w:val="left" w:pos="1080"/>
              </w:tabs>
              <w:spacing w:after="0"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a) buget de stat</w:t>
            </w:r>
          </w:p>
          <w:p w14:paraId="1526EFF3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  (i) contribuţii de asigurări</w:t>
            </w:r>
          </w:p>
        </w:tc>
        <w:tc>
          <w:tcPr>
            <w:tcW w:w="1276" w:type="dxa"/>
          </w:tcPr>
          <w:p w14:paraId="3D37609C" w14:textId="77777777" w:rsidR="00AE3426" w:rsidRPr="00E66E8C" w:rsidRDefault="00AE3426" w:rsidP="009A649C">
            <w:pPr>
              <w:spacing w:line="276" w:lineRule="auto"/>
              <w:rPr>
                <w:color w:val="000000" w:themeColor="text1"/>
              </w:rPr>
            </w:pPr>
          </w:p>
          <w:p w14:paraId="3B7A65C3" w14:textId="77777777" w:rsidR="00AE3426" w:rsidRPr="00E66E8C" w:rsidRDefault="00AE3426" w:rsidP="009A649C">
            <w:pPr>
              <w:spacing w:line="276" w:lineRule="auto"/>
              <w:rPr>
                <w:color w:val="000000" w:themeColor="text1"/>
              </w:rPr>
            </w:pPr>
          </w:p>
          <w:p w14:paraId="11D005A9" w14:textId="5FCDF37F" w:rsidR="002854FC" w:rsidRPr="00E66E8C" w:rsidRDefault="00AD598A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  <w:tc>
          <w:tcPr>
            <w:tcW w:w="1377" w:type="dxa"/>
          </w:tcPr>
          <w:p w14:paraId="2CC93811" w14:textId="77777777" w:rsidR="001A764D" w:rsidRPr="00E66E8C" w:rsidRDefault="001A764D" w:rsidP="009A649C">
            <w:pPr>
              <w:spacing w:line="276" w:lineRule="auto"/>
              <w:rPr>
                <w:color w:val="000000" w:themeColor="text1"/>
              </w:rPr>
            </w:pPr>
          </w:p>
          <w:p w14:paraId="34A0A4DB" w14:textId="77777777" w:rsidR="001A764D" w:rsidRPr="00E66E8C" w:rsidRDefault="001A764D" w:rsidP="009A649C">
            <w:pPr>
              <w:spacing w:line="276" w:lineRule="auto"/>
              <w:rPr>
                <w:color w:val="000000" w:themeColor="text1"/>
              </w:rPr>
            </w:pPr>
          </w:p>
          <w:p w14:paraId="7475E9B3" w14:textId="7B033808" w:rsidR="002854FC" w:rsidRPr="00E66E8C" w:rsidRDefault="00AD598A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  <w:tc>
          <w:tcPr>
            <w:tcW w:w="749" w:type="dxa"/>
          </w:tcPr>
          <w:p w14:paraId="6A9378E7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6921FF1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1EE03B37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B4C7E94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A649C" w:rsidRPr="00E66E8C" w14:paraId="296FEBAF" w14:textId="77777777" w:rsidTr="00A411DC">
        <w:tc>
          <w:tcPr>
            <w:tcW w:w="3964" w:type="dxa"/>
            <w:gridSpan w:val="2"/>
          </w:tcPr>
          <w:p w14:paraId="12DFF1C9" w14:textId="77777777" w:rsidR="001C4D17" w:rsidRPr="00E66E8C" w:rsidRDefault="001C4D17" w:rsidP="009A649C">
            <w:pPr>
              <w:spacing w:line="276" w:lineRule="auto"/>
              <w:rPr>
                <w:b/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2. Modificări ale cheltuielilor bugetare, plus/minus, din care:</w:t>
            </w:r>
          </w:p>
          <w:p w14:paraId="344B7766" w14:textId="12D0BF90" w:rsidR="001C4D17" w:rsidRPr="00E66E8C" w:rsidRDefault="001C4D17" w:rsidP="009A649C">
            <w:pPr>
              <w:pStyle w:val="BodyText"/>
              <w:tabs>
                <w:tab w:val="left" w:pos="1080"/>
              </w:tabs>
              <w:spacing w:after="0"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a) buget de stat, </w:t>
            </w:r>
          </w:p>
          <w:p w14:paraId="4834CC84" w14:textId="2330F5FC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53D6683" w14:textId="77777777" w:rsidR="00AE3426" w:rsidRPr="00E66E8C" w:rsidRDefault="00AE3426" w:rsidP="00F74414">
            <w:pPr>
              <w:spacing w:line="276" w:lineRule="auto"/>
              <w:rPr>
                <w:color w:val="000000" w:themeColor="text1"/>
              </w:rPr>
            </w:pPr>
          </w:p>
          <w:p w14:paraId="3729E188" w14:textId="77777777" w:rsidR="00AE3426" w:rsidRPr="00E66E8C" w:rsidRDefault="00AE3426" w:rsidP="00F74414">
            <w:pPr>
              <w:spacing w:line="276" w:lineRule="auto"/>
              <w:rPr>
                <w:color w:val="000000" w:themeColor="text1"/>
              </w:rPr>
            </w:pPr>
          </w:p>
          <w:p w14:paraId="2C96D1B0" w14:textId="4A5F6F43" w:rsidR="002854FC" w:rsidRPr="00E66E8C" w:rsidRDefault="00AD598A" w:rsidP="00F74414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  <w:tc>
          <w:tcPr>
            <w:tcW w:w="1377" w:type="dxa"/>
          </w:tcPr>
          <w:p w14:paraId="090AC093" w14:textId="77777777" w:rsidR="001A764D" w:rsidRPr="00E66E8C" w:rsidRDefault="001A764D" w:rsidP="009A649C">
            <w:pPr>
              <w:spacing w:line="276" w:lineRule="auto"/>
              <w:rPr>
                <w:color w:val="000000" w:themeColor="text1"/>
              </w:rPr>
            </w:pPr>
          </w:p>
          <w:p w14:paraId="699E4421" w14:textId="77777777" w:rsidR="001A764D" w:rsidRPr="00E66E8C" w:rsidRDefault="001A764D" w:rsidP="009A649C">
            <w:pPr>
              <w:spacing w:line="276" w:lineRule="auto"/>
              <w:rPr>
                <w:color w:val="000000" w:themeColor="text1"/>
              </w:rPr>
            </w:pPr>
          </w:p>
          <w:p w14:paraId="30F7141F" w14:textId="4A3C311C" w:rsidR="002854FC" w:rsidRPr="00E66E8C" w:rsidRDefault="00AD598A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  <w:tc>
          <w:tcPr>
            <w:tcW w:w="749" w:type="dxa"/>
          </w:tcPr>
          <w:p w14:paraId="11CBB22C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E7EEB58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761772FF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CA38D48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</w:tr>
      <w:bookmarkEnd w:id="3"/>
      <w:tr w:rsidR="009A649C" w:rsidRPr="00E66E8C" w14:paraId="31DEEE1B" w14:textId="77777777" w:rsidTr="00A411DC">
        <w:tc>
          <w:tcPr>
            <w:tcW w:w="3964" w:type="dxa"/>
            <w:gridSpan w:val="2"/>
          </w:tcPr>
          <w:p w14:paraId="45B15B09" w14:textId="77777777" w:rsidR="001C4D17" w:rsidRPr="00E66E8C" w:rsidRDefault="001C4D17" w:rsidP="009A649C">
            <w:pPr>
              <w:pStyle w:val="BodyText"/>
              <w:tabs>
                <w:tab w:val="left" w:pos="1080"/>
              </w:tabs>
              <w:spacing w:after="0" w:line="276" w:lineRule="auto"/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3.Impact financiar, plus/minus, din care:</w:t>
            </w:r>
          </w:p>
          <w:p w14:paraId="3FFE4688" w14:textId="77777777" w:rsidR="001C4D17" w:rsidRPr="00E66E8C" w:rsidRDefault="001C4D17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lastRenderedPageBreak/>
              <w:t>a) bugetul asigurarilor de stat-bugetul asigurarilor pentru somaj</w:t>
            </w:r>
          </w:p>
          <w:p w14:paraId="18E49637" w14:textId="77777777" w:rsidR="002854FC" w:rsidRPr="00E66E8C" w:rsidRDefault="001C4D17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b) bugetele locale</w:t>
            </w:r>
          </w:p>
        </w:tc>
        <w:tc>
          <w:tcPr>
            <w:tcW w:w="1276" w:type="dxa"/>
          </w:tcPr>
          <w:p w14:paraId="14638869" w14:textId="34152FB5" w:rsidR="002854FC" w:rsidRPr="00E66E8C" w:rsidRDefault="00AE3426" w:rsidP="00636386">
            <w:pPr>
              <w:spacing w:line="276" w:lineRule="auto"/>
              <w:jc w:val="right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1377" w:type="dxa"/>
          </w:tcPr>
          <w:p w14:paraId="4974E21C" w14:textId="27C949A5" w:rsidR="002854FC" w:rsidRPr="00E66E8C" w:rsidRDefault="001A764D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0</w:t>
            </w:r>
          </w:p>
        </w:tc>
        <w:tc>
          <w:tcPr>
            <w:tcW w:w="749" w:type="dxa"/>
          </w:tcPr>
          <w:p w14:paraId="24132E54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EE52469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07B28619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66CF182A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A649C" w:rsidRPr="00E66E8C" w14:paraId="54D1AD41" w14:textId="77777777" w:rsidTr="00A411DC">
        <w:tc>
          <w:tcPr>
            <w:tcW w:w="3964" w:type="dxa"/>
            <w:gridSpan w:val="2"/>
          </w:tcPr>
          <w:p w14:paraId="50615C65" w14:textId="77777777" w:rsidR="002854FC" w:rsidRPr="00E66E8C" w:rsidRDefault="008C503E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b/>
                <w:bCs/>
                <w:color w:val="000000" w:themeColor="text1"/>
              </w:rPr>
              <w:t>4.</w:t>
            </w:r>
            <w:r w:rsidRPr="00E66E8C">
              <w:rPr>
                <w:b/>
                <w:color w:val="000000" w:themeColor="text1"/>
              </w:rPr>
              <w:t xml:space="preserve"> Propuneri pentru acoperirea creşterii cheltuielilor bugetare</w:t>
            </w:r>
          </w:p>
        </w:tc>
        <w:tc>
          <w:tcPr>
            <w:tcW w:w="1276" w:type="dxa"/>
          </w:tcPr>
          <w:p w14:paraId="42227FAF" w14:textId="77777777" w:rsidR="002854FC" w:rsidRPr="00E66E8C" w:rsidRDefault="008C503E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  <w:tc>
          <w:tcPr>
            <w:tcW w:w="1377" w:type="dxa"/>
          </w:tcPr>
          <w:p w14:paraId="4089331E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9" w:type="dxa"/>
          </w:tcPr>
          <w:p w14:paraId="6A7AD7DE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5B854EA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0B9E52C1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53D95D00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A649C" w:rsidRPr="00E66E8C" w14:paraId="07775B8B" w14:textId="77777777" w:rsidTr="00A411DC">
        <w:tc>
          <w:tcPr>
            <w:tcW w:w="3964" w:type="dxa"/>
            <w:gridSpan w:val="2"/>
          </w:tcPr>
          <w:p w14:paraId="0AF071CE" w14:textId="77777777" w:rsidR="002854FC" w:rsidRPr="00E66E8C" w:rsidRDefault="001C4D17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5. Propuneri pentru a compensa reducerea veniturilor bugetare</w:t>
            </w:r>
          </w:p>
        </w:tc>
        <w:tc>
          <w:tcPr>
            <w:tcW w:w="1276" w:type="dxa"/>
          </w:tcPr>
          <w:p w14:paraId="454AA17C" w14:textId="77777777" w:rsidR="002854FC" w:rsidRPr="00E66E8C" w:rsidRDefault="008C503E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  <w:tc>
          <w:tcPr>
            <w:tcW w:w="1377" w:type="dxa"/>
          </w:tcPr>
          <w:p w14:paraId="5B21EDFC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9" w:type="dxa"/>
          </w:tcPr>
          <w:p w14:paraId="3FB3B184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BADEE0A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0A91F4B7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C65C65B" w14:textId="77777777" w:rsidR="002854FC" w:rsidRPr="00E66E8C" w:rsidRDefault="002854FC" w:rsidP="009A649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A649C" w:rsidRPr="00E66E8C" w14:paraId="63E90A84" w14:textId="77777777" w:rsidTr="00A411DC">
        <w:tc>
          <w:tcPr>
            <w:tcW w:w="3964" w:type="dxa"/>
            <w:gridSpan w:val="2"/>
          </w:tcPr>
          <w:p w14:paraId="08FF85BE" w14:textId="77777777" w:rsidR="008C503E" w:rsidRPr="00E66E8C" w:rsidRDefault="008C503E" w:rsidP="009A649C">
            <w:pPr>
              <w:spacing w:line="276" w:lineRule="auto"/>
              <w:rPr>
                <w:b/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6. Calcule detaliate privind fundamentarea modificărilor veniturilor şi/sau cheltuielilor bugetare</w:t>
            </w:r>
          </w:p>
        </w:tc>
        <w:tc>
          <w:tcPr>
            <w:tcW w:w="1276" w:type="dxa"/>
          </w:tcPr>
          <w:p w14:paraId="4DBA7DE0" w14:textId="77777777" w:rsidR="008C503E" w:rsidRPr="00E66E8C" w:rsidRDefault="008C503E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  <w:tc>
          <w:tcPr>
            <w:tcW w:w="1377" w:type="dxa"/>
          </w:tcPr>
          <w:p w14:paraId="067BC887" w14:textId="77777777" w:rsidR="008C503E" w:rsidRPr="00E66E8C" w:rsidRDefault="008C503E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9" w:type="dxa"/>
          </w:tcPr>
          <w:p w14:paraId="55C8A7D3" w14:textId="77777777" w:rsidR="008C503E" w:rsidRPr="00E66E8C" w:rsidRDefault="008C503E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DDB401E" w14:textId="77777777" w:rsidR="008C503E" w:rsidRPr="00E66E8C" w:rsidRDefault="008C503E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2F37790B" w14:textId="77777777" w:rsidR="008C503E" w:rsidRPr="00E66E8C" w:rsidRDefault="008C503E" w:rsidP="009A649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E2B7309" w14:textId="77777777" w:rsidR="008C503E" w:rsidRPr="00E66E8C" w:rsidRDefault="008C503E" w:rsidP="009A649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A649C" w:rsidRPr="00E66E8C" w14:paraId="71096E7B" w14:textId="77777777" w:rsidTr="00A411DC">
        <w:tc>
          <w:tcPr>
            <w:tcW w:w="3964" w:type="dxa"/>
            <w:gridSpan w:val="2"/>
          </w:tcPr>
          <w:p w14:paraId="7E4559AB" w14:textId="77777777" w:rsidR="001C4D17" w:rsidRPr="00E66E8C" w:rsidRDefault="001C4D17" w:rsidP="009A649C">
            <w:pPr>
              <w:spacing w:line="276" w:lineRule="auto"/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7. Alte informaţii</w:t>
            </w:r>
          </w:p>
        </w:tc>
        <w:tc>
          <w:tcPr>
            <w:tcW w:w="5954" w:type="dxa"/>
            <w:gridSpan w:val="6"/>
          </w:tcPr>
          <w:p w14:paraId="458DEEA8" w14:textId="5D622BA3" w:rsidR="001C4D17" w:rsidRPr="00E66E8C" w:rsidRDefault="001C4D17" w:rsidP="00AE342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A649C" w:rsidRPr="00E66E8C" w14:paraId="5B817CC4" w14:textId="77777777" w:rsidTr="00A411DC">
        <w:tc>
          <w:tcPr>
            <w:tcW w:w="9918" w:type="dxa"/>
            <w:gridSpan w:val="8"/>
          </w:tcPr>
          <w:p w14:paraId="44807DC4" w14:textId="77777777" w:rsidR="000A1CCA" w:rsidRPr="00E66E8C" w:rsidRDefault="000A1CCA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</w:p>
          <w:p w14:paraId="11E06184" w14:textId="4DE12166" w:rsidR="001C4D17" w:rsidRPr="00E66E8C" w:rsidRDefault="001C4D17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iCs/>
                <w:color w:val="000000" w:themeColor="text1"/>
                <w:lang w:eastAsia="ro-RO"/>
              </w:rPr>
              <w:t>Secţiunea a 5-a</w:t>
            </w:r>
          </w:p>
          <w:p w14:paraId="243A665D" w14:textId="77777777" w:rsidR="009A649C" w:rsidRDefault="001C4D17" w:rsidP="009A649C">
            <w:pPr>
              <w:tabs>
                <w:tab w:val="center" w:pos="5129"/>
                <w:tab w:val="left" w:pos="9345"/>
              </w:tabs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iCs/>
                <w:color w:val="000000" w:themeColor="text1"/>
                <w:lang w:eastAsia="ro-RO"/>
              </w:rPr>
              <w:t>Efectele prezentului act normativ asupra legislaţiei în vigoare</w:t>
            </w:r>
          </w:p>
          <w:p w14:paraId="6809D01B" w14:textId="6F75B800" w:rsidR="000A1CCA" w:rsidRPr="00E66E8C" w:rsidRDefault="000A1CCA" w:rsidP="009A649C">
            <w:pPr>
              <w:tabs>
                <w:tab w:val="center" w:pos="5129"/>
                <w:tab w:val="left" w:pos="9345"/>
              </w:tabs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</w:p>
        </w:tc>
      </w:tr>
      <w:tr w:rsidR="009A649C" w:rsidRPr="00E66E8C" w14:paraId="5EFFB434" w14:textId="77777777" w:rsidTr="00A411DC">
        <w:tc>
          <w:tcPr>
            <w:tcW w:w="3964" w:type="dxa"/>
            <w:gridSpan w:val="2"/>
          </w:tcPr>
          <w:p w14:paraId="119C46B2" w14:textId="77777777" w:rsidR="008C503E" w:rsidRPr="00E66E8C" w:rsidRDefault="008C503E" w:rsidP="009A649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1. Măsuri normative necesare pentru aplicarea prevederilor proiectului de act normativ:</w:t>
            </w:r>
          </w:p>
          <w:p w14:paraId="3350C5D3" w14:textId="77777777" w:rsidR="008C503E" w:rsidRPr="00E66E8C" w:rsidRDefault="008C503E" w:rsidP="009A649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a) acte normative în vigoare ce vor fi modificate sau abrogate, ca urmare a intrării în vigoare a proiectului de act normativ;</w:t>
            </w:r>
          </w:p>
          <w:p w14:paraId="3CC1FB1B" w14:textId="77777777" w:rsidR="001C4D17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b) acte normative ce urmează a fi elaborate în vederea implementării noilor dispoziţii</w:t>
            </w:r>
          </w:p>
        </w:tc>
        <w:tc>
          <w:tcPr>
            <w:tcW w:w="5954" w:type="dxa"/>
            <w:gridSpan w:val="6"/>
          </w:tcPr>
          <w:p w14:paraId="78CB1146" w14:textId="77777777" w:rsidR="008C503E" w:rsidRPr="00E66E8C" w:rsidRDefault="008C503E" w:rsidP="009A649C">
            <w:pPr>
              <w:snapToGrid w:val="0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Prezentul act normativ nu se referă la acest subiect.</w:t>
            </w:r>
          </w:p>
          <w:p w14:paraId="21629BCC" w14:textId="77777777" w:rsidR="001C4D17" w:rsidRPr="00E66E8C" w:rsidRDefault="001C4D17" w:rsidP="009A649C">
            <w:pPr>
              <w:rPr>
                <w:color w:val="000000" w:themeColor="text1"/>
              </w:rPr>
            </w:pPr>
          </w:p>
        </w:tc>
      </w:tr>
      <w:tr w:rsidR="009A649C" w:rsidRPr="00E66E8C" w14:paraId="4CAE8819" w14:textId="77777777" w:rsidTr="00A411DC">
        <w:tc>
          <w:tcPr>
            <w:tcW w:w="3964" w:type="dxa"/>
            <w:gridSpan w:val="2"/>
          </w:tcPr>
          <w:p w14:paraId="12B11997" w14:textId="77777777" w:rsidR="001C4D17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1</w:t>
            </w:r>
            <w:r w:rsidRPr="00E66E8C">
              <w:rPr>
                <w:b/>
                <w:color w:val="000000" w:themeColor="text1"/>
                <w:vertAlign w:val="superscript"/>
              </w:rPr>
              <w:t>1</w:t>
            </w:r>
            <w:r w:rsidRPr="00E66E8C">
              <w:rPr>
                <w:b/>
                <w:color w:val="000000" w:themeColor="text1"/>
              </w:rPr>
              <w:t xml:space="preserve">.Compatibilitatea proiectului act normativ cu </w:t>
            </w:r>
            <w:r w:rsidRPr="00E66E8C">
              <w:rPr>
                <w:b/>
                <w:bCs/>
                <w:color w:val="000000" w:themeColor="text1"/>
              </w:rPr>
              <w:t>legislatia în domeniul achizitiilor publice</w:t>
            </w:r>
          </w:p>
        </w:tc>
        <w:tc>
          <w:tcPr>
            <w:tcW w:w="5954" w:type="dxa"/>
            <w:gridSpan w:val="6"/>
          </w:tcPr>
          <w:p w14:paraId="2F2F8282" w14:textId="77777777" w:rsidR="001C4D17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Prezentul act normativ nu se referă la acest subiect.</w:t>
            </w:r>
          </w:p>
        </w:tc>
      </w:tr>
      <w:tr w:rsidR="009A649C" w:rsidRPr="00E66E8C" w14:paraId="39A52C13" w14:textId="77777777" w:rsidTr="00A411DC">
        <w:tc>
          <w:tcPr>
            <w:tcW w:w="3964" w:type="dxa"/>
            <w:gridSpan w:val="2"/>
          </w:tcPr>
          <w:p w14:paraId="5EA7FCE0" w14:textId="77777777" w:rsidR="001C4D17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b/>
                <w:bCs/>
                <w:color w:val="000000" w:themeColor="text1"/>
              </w:rPr>
              <w:t xml:space="preserve">2. Compatibilitatea proiectului de act normativ cu </w:t>
            </w:r>
            <w:r w:rsidRPr="00E66E8C">
              <w:rPr>
                <w:b/>
                <w:color w:val="000000" w:themeColor="text1"/>
              </w:rPr>
              <w:t>legislaţia comunitară în materie</w:t>
            </w:r>
          </w:p>
        </w:tc>
        <w:tc>
          <w:tcPr>
            <w:tcW w:w="5954" w:type="dxa"/>
            <w:gridSpan w:val="6"/>
          </w:tcPr>
          <w:p w14:paraId="6D9CF663" w14:textId="0404967A" w:rsidR="001C4D17" w:rsidRPr="00E66E8C" w:rsidRDefault="001C4D17" w:rsidP="009A649C">
            <w:pPr>
              <w:jc w:val="both"/>
              <w:rPr>
                <w:color w:val="000000" w:themeColor="text1"/>
              </w:rPr>
            </w:pPr>
          </w:p>
        </w:tc>
      </w:tr>
      <w:tr w:rsidR="009A649C" w:rsidRPr="00E66E8C" w14:paraId="14AE6C6F" w14:textId="77777777" w:rsidTr="00A411DC">
        <w:tc>
          <w:tcPr>
            <w:tcW w:w="3964" w:type="dxa"/>
            <w:gridSpan w:val="2"/>
          </w:tcPr>
          <w:p w14:paraId="1098B557" w14:textId="77777777" w:rsidR="008C503E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3. Măsuri normative necesare aplicării directe a actelor normative comunitare</w:t>
            </w:r>
          </w:p>
        </w:tc>
        <w:tc>
          <w:tcPr>
            <w:tcW w:w="5954" w:type="dxa"/>
            <w:gridSpan w:val="6"/>
          </w:tcPr>
          <w:p w14:paraId="4D717550" w14:textId="3F0D8423" w:rsidR="008C503E" w:rsidRPr="00E66E8C" w:rsidRDefault="008C503E" w:rsidP="009A649C">
            <w:pPr>
              <w:rPr>
                <w:color w:val="000000" w:themeColor="text1"/>
              </w:rPr>
            </w:pPr>
          </w:p>
        </w:tc>
      </w:tr>
      <w:tr w:rsidR="009A649C" w:rsidRPr="00E66E8C" w14:paraId="415442AC" w14:textId="77777777" w:rsidTr="00A411DC">
        <w:tc>
          <w:tcPr>
            <w:tcW w:w="3964" w:type="dxa"/>
            <w:gridSpan w:val="2"/>
          </w:tcPr>
          <w:p w14:paraId="0282A729" w14:textId="77777777" w:rsidR="008C503E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4. Hotărâri ale Curţii de Justiţie a Uniunii Europene</w:t>
            </w:r>
          </w:p>
        </w:tc>
        <w:tc>
          <w:tcPr>
            <w:tcW w:w="5954" w:type="dxa"/>
            <w:gridSpan w:val="6"/>
          </w:tcPr>
          <w:p w14:paraId="69537249" w14:textId="77777777" w:rsidR="008C503E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Prezentul act normativ nu se referă la acest subiect.</w:t>
            </w:r>
          </w:p>
        </w:tc>
      </w:tr>
      <w:tr w:rsidR="009A649C" w:rsidRPr="00E66E8C" w14:paraId="11EEF490" w14:textId="77777777" w:rsidTr="00A411DC">
        <w:tc>
          <w:tcPr>
            <w:tcW w:w="3964" w:type="dxa"/>
            <w:gridSpan w:val="2"/>
          </w:tcPr>
          <w:p w14:paraId="588E9D65" w14:textId="77777777" w:rsidR="008C503E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5. Alte acte normative si/sau documente internaţionale din care decurg angajamente</w:t>
            </w:r>
          </w:p>
        </w:tc>
        <w:tc>
          <w:tcPr>
            <w:tcW w:w="5954" w:type="dxa"/>
            <w:gridSpan w:val="6"/>
          </w:tcPr>
          <w:p w14:paraId="72390E85" w14:textId="77777777" w:rsidR="008C503E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Prezentul act normativ nu se referă la acest subiect.</w:t>
            </w:r>
          </w:p>
        </w:tc>
      </w:tr>
      <w:tr w:rsidR="009A649C" w:rsidRPr="00E66E8C" w14:paraId="7F0D52C9" w14:textId="77777777" w:rsidTr="00A411DC">
        <w:tc>
          <w:tcPr>
            <w:tcW w:w="3964" w:type="dxa"/>
            <w:gridSpan w:val="2"/>
          </w:tcPr>
          <w:p w14:paraId="1728EFB0" w14:textId="77777777" w:rsidR="008C503E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6. Alte informaţii</w:t>
            </w:r>
          </w:p>
        </w:tc>
        <w:tc>
          <w:tcPr>
            <w:tcW w:w="5954" w:type="dxa"/>
            <w:gridSpan w:val="6"/>
          </w:tcPr>
          <w:p w14:paraId="187FEF55" w14:textId="77777777" w:rsidR="008C503E" w:rsidRPr="00E66E8C" w:rsidRDefault="008C503E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</w:tr>
      <w:tr w:rsidR="009A649C" w:rsidRPr="00E66E8C" w14:paraId="1D782E26" w14:textId="77777777" w:rsidTr="00A411DC">
        <w:tc>
          <w:tcPr>
            <w:tcW w:w="9918" w:type="dxa"/>
            <w:gridSpan w:val="8"/>
          </w:tcPr>
          <w:p w14:paraId="5D033C28" w14:textId="77777777" w:rsidR="000A1CCA" w:rsidRPr="00E66E8C" w:rsidRDefault="000A1CCA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</w:p>
          <w:p w14:paraId="3D2DF117" w14:textId="683F731E" w:rsidR="008C503E" w:rsidRPr="00E66E8C" w:rsidRDefault="008C503E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iCs/>
                <w:color w:val="000000" w:themeColor="text1"/>
                <w:lang w:eastAsia="ro-RO"/>
              </w:rPr>
              <w:t>Secţiunea a 6-a</w:t>
            </w:r>
          </w:p>
          <w:p w14:paraId="6DFBC99C" w14:textId="77777777" w:rsidR="00922303" w:rsidRDefault="008C503E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  <w:r w:rsidRPr="00E66E8C">
              <w:rPr>
                <w:b/>
                <w:i/>
                <w:iCs/>
                <w:color w:val="000000" w:themeColor="text1"/>
                <w:lang w:eastAsia="ro-RO"/>
              </w:rPr>
              <w:t>Consultările efectuate în vederea elaborării prezentului act normativ</w:t>
            </w:r>
          </w:p>
          <w:p w14:paraId="2686D3CD" w14:textId="6F7255B0" w:rsidR="000A1CCA" w:rsidRPr="00E66E8C" w:rsidRDefault="000A1CCA" w:rsidP="009A649C">
            <w:pPr>
              <w:jc w:val="center"/>
              <w:rPr>
                <w:b/>
                <w:i/>
                <w:iCs/>
                <w:color w:val="000000" w:themeColor="text1"/>
                <w:lang w:eastAsia="ro-RO"/>
              </w:rPr>
            </w:pPr>
          </w:p>
        </w:tc>
      </w:tr>
      <w:tr w:rsidR="009A649C" w:rsidRPr="00E66E8C" w14:paraId="67D22BF3" w14:textId="77777777" w:rsidTr="00A411DC">
        <w:tc>
          <w:tcPr>
            <w:tcW w:w="3964" w:type="dxa"/>
            <w:gridSpan w:val="2"/>
          </w:tcPr>
          <w:p w14:paraId="268F3701" w14:textId="77777777" w:rsidR="008C503E" w:rsidRPr="00E66E8C" w:rsidRDefault="00454EF4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1. Informaţii privind procesul de consultare cu organizaţii neguvernamentale, institute de cercetare si alte organisme implicate</w:t>
            </w:r>
          </w:p>
        </w:tc>
        <w:tc>
          <w:tcPr>
            <w:tcW w:w="5954" w:type="dxa"/>
            <w:gridSpan w:val="6"/>
          </w:tcPr>
          <w:p w14:paraId="5F3DFAFA" w14:textId="77777777" w:rsidR="008C503E" w:rsidRPr="00E66E8C" w:rsidRDefault="00454EF4" w:rsidP="009A649C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Proiectul de act normativ a fost elaborat în consultare cu Autoritatea Națională de Reglementare în domeniul Energiei (ANRE).</w:t>
            </w:r>
          </w:p>
        </w:tc>
      </w:tr>
      <w:tr w:rsidR="009A649C" w:rsidRPr="00E66E8C" w14:paraId="1E9DCA0C" w14:textId="77777777" w:rsidTr="00A411DC">
        <w:tc>
          <w:tcPr>
            <w:tcW w:w="3964" w:type="dxa"/>
            <w:gridSpan w:val="2"/>
          </w:tcPr>
          <w:p w14:paraId="04ECEF09" w14:textId="77777777" w:rsidR="008C503E" w:rsidRPr="00E66E8C" w:rsidRDefault="00454EF4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lastRenderedPageBreak/>
              <w:t>2. Fundamentarea alegerii organizaţiilor cu care a avut loc consultarea, precum şi a modului în care activitatea acestor organizaţii este legată de obiectul prezentului act normativ</w:t>
            </w:r>
          </w:p>
        </w:tc>
        <w:tc>
          <w:tcPr>
            <w:tcW w:w="5954" w:type="dxa"/>
            <w:gridSpan w:val="6"/>
          </w:tcPr>
          <w:p w14:paraId="109AD303" w14:textId="049306F0" w:rsidR="00E678C8" w:rsidRPr="00E66E8C" w:rsidRDefault="00E678C8" w:rsidP="009A649C">
            <w:pPr>
              <w:jc w:val="both"/>
              <w:rPr>
                <w:color w:val="000000" w:themeColor="text1"/>
              </w:rPr>
            </w:pPr>
          </w:p>
        </w:tc>
      </w:tr>
      <w:tr w:rsidR="009A649C" w:rsidRPr="00E66E8C" w14:paraId="575BCDE7" w14:textId="77777777" w:rsidTr="00A411DC">
        <w:tc>
          <w:tcPr>
            <w:tcW w:w="3964" w:type="dxa"/>
            <w:gridSpan w:val="2"/>
          </w:tcPr>
          <w:p w14:paraId="265CEB6E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3. Consultările organizate cu autorităţile administraţiei publice locale, în situaţia în care prezentul act normativ are ca obiect activităţi ale acestor autorităţi, în condiţiile Hotărârii Guvernului nr. 521/2005 privind procedura de consultare a structurilor asociative  ale autorităţilor administraţiei publice locale la elaborarea proiectelor de acte normative</w:t>
            </w:r>
          </w:p>
        </w:tc>
        <w:tc>
          <w:tcPr>
            <w:tcW w:w="5954" w:type="dxa"/>
            <w:gridSpan w:val="6"/>
          </w:tcPr>
          <w:p w14:paraId="55C08FDC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Prezentul act normativ nu se referă la acest subiect.</w:t>
            </w:r>
          </w:p>
        </w:tc>
      </w:tr>
      <w:tr w:rsidR="009A649C" w:rsidRPr="00E66E8C" w14:paraId="1FC7A439" w14:textId="77777777" w:rsidTr="00A411DC">
        <w:tc>
          <w:tcPr>
            <w:tcW w:w="3964" w:type="dxa"/>
            <w:gridSpan w:val="2"/>
          </w:tcPr>
          <w:p w14:paraId="77F6EEBB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4. Consultările desfăşurate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5954" w:type="dxa"/>
            <w:gridSpan w:val="6"/>
          </w:tcPr>
          <w:p w14:paraId="573177A4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Prezentul act normativ nu se referă la acest subiect.</w:t>
            </w:r>
          </w:p>
        </w:tc>
      </w:tr>
      <w:tr w:rsidR="009A649C" w:rsidRPr="00E66E8C" w14:paraId="48840BF0" w14:textId="77777777" w:rsidTr="00A411DC">
        <w:tc>
          <w:tcPr>
            <w:tcW w:w="3964" w:type="dxa"/>
            <w:gridSpan w:val="2"/>
          </w:tcPr>
          <w:p w14:paraId="48F3E9C9" w14:textId="77777777" w:rsidR="00055649" w:rsidRPr="00E66E8C" w:rsidRDefault="00055649" w:rsidP="009A649C">
            <w:pPr>
              <w:jc w:val="both"/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5. Informaţii privind avizarea de către:</w:t>
            </w:r>
          </w:p>
          <w:p w14:paraId="505C9E02" w14:textId="77777777" w:rsidR="00055649" w:rsidRPr="00E66E8C" w:rsidRDefault="00055649" w:rsidP="009A649C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a) Consiliul Legislativ</w:t>
            </w:r>
          </w:p>
          <w:p w14:paraId="0C269257" w14:textId="77777777" w:rsidR="00055649" w:rsidRPr="00E66E8C" w:rsidRDefault="00055649" w:rsidP="009A649C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b)Consiliul Suprem de Aparare a Țării </w:t>
            </w:r>
          </w:p>
          <w:p w14:paraId="3EC8BE64" w14:textId="77777777" w:rsidR="00055649" w:rsidRPr="00E66E8C" w:rsidRDefault="00055649" w:rsidP="009A649C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c) Consiliul Economic si Social</w:t>
            </w:r>
          </w:p>
          <w:p w14:paraId="363CD14E" w14:textId="77777777" w:rsidR="00055649" w:rsidRPr="00E66E8C" w:rsidRDefault="00055649" w:rsidP="009A649C">
            <w:pPr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d) Consiliul Concurenței</w:t>
            </w:r>
          </w:p>
          <w:p w14:paraId="5636620B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e) Curtea de Conturi</w:t>
            </w:r>
          </w:p>
        </w:tc>
        <w:tc>
          <w:tcPr>
            <w:tcW w:w="5954" w:type="dxa"/>
            <w:gridSpan w:val="6"/>
          </w:tcPr>
          <w:p w14:paraId="7F5C2F7C" w14:textId="3E64CFB8" w:rsidR="00055649" w:rsidRPr="00E66E8C" w:rsidRDefault="00055649" w:rsidP="009A649C">
            <w:pPr>
              <w:ind w:right="63"/>
              <w:jc w:val="both"/>
              <w:rPr>
                <w:color w:val="000000" w:themeColor="text1"/>
                <w:lang w:eastAsia="ro-RO"/>
              </w:rPr>
            </w:pPr>
            <w:r w:rsidRPr="00E66E8C">
              <w:rPr>
                <w:color w:val="000000" w:themeColor="text1"/>
                <w:lang w:eastAsia="ro-RO"/>
              </w:rPr>
              <w:t xml:space="preserve">Proiectul de act normativ </w:t>
            </w:r>
            <w:r w:rsidR="00D542E7">
              <w:rPr>
                <w:color w:val="000000" w:themeColor="text1"/>
                <w:lang w:eastAsia="ro-RO"/>
              </w:rPr>
              <w:t>a fost</w:t>
            </w:r>
            <w:r w:rsidRPr="00E66E8C">
              <w:rPr>
                <w:color w:val="000000" w:themeColor="text1"/>
                <w:lang w:eastAsia="ro-RO"/>
              </w:rPr>
              <w:t xml:space="preserve"> supus avizului:</w:t>
            </w:r>
          </w:p>
          <w:p w14:paraId="2FF4D9FD" w14:textId="6D2C1876" w:rsidR="00D542E7" w:rsidRDefault="00D542E7" w:rsidP="009A649C">
            <w:pPr>
              <w:numPr>
                <w:ilvl w:val="0"/>
                <w:numId w:val="2"/>
              </w:numPr>
              <w:ind w:left="297" w:right="63" w:hanging="270"/>
              <w:jc w:val="both"/>
              <w:rPr>
                <w:color w:val="000000" w:themeColor="text1"/>
              </w:rPr>
            </w:pPr>
            <w:r w:rsidRPr="00D542E7">
              <w:rPr>
                <w:color w:val="000000" w:themeColor="text1"/>
              </w:rPr>
              <w:t xml:space="preserve">Autoritatea </w:t>
            </w:r>
            <w:r>
              <w:rPr>
                <w:color w:val="000000" w:themeColor="text1"/>
              </w:rPr>
              <w:t xml:space="preserve">Națională </w:t>
            </w:r>
            <w:r w:rsidRPr="00D542E7">
              <w:rPr>
                <w:color w:val="000000" w:themeColor="text1"/>
              </w:rPr>
              <w:t xml:space="preserve">pentru </w:t>
            </w:r>
            <w:r>
              <w:rPr>
                <w:color w:val="000000" w:themeColor="text1"/>
              </w:rPr>
              <w:t>P</w:t>
            </w:r>
            <w:r w:rsidRPr="00D542E7">
              <w:rPr>
                <w:color w:val="000000" w:themeColor="text1"/>
              </w:rPr>
              <w:t xml:space="preserve">rotectia </w:t>
            </w:r>
            <w:r>
              <w:rPr>
                <w:color w:val="000000" w:themeColor="text1"/>
              </w:rPr>
              <w:t>C</w:t>
            </w:r>
            <w:r w:rsidRPr="00D542E7">
              <w:rPr>
                <w:color w:val="000000" w:themeColor="text1"/>
              </w:rPr>
              <w:t>onsumatorilor</w:t>
            </w:r>
            <w:r>
              <w:rPr>
                <w:color w:val="000000" w:themeColor="text1"/>
              </w:rPr>
              <w:t xml:space="preserve"> - adresa nr. </w:t>
            </w:r>
            <w:r w:rsidRPr="00D542E7">
              <w:rPr>
                <w:color w:val="000000" w:themeColor="text1"/>
              </w:rPr>
              <w:t>3279/31.03.2022</w:t>
            </w:r>
            <w:r>
              <w:rPr>
                <w:color w:val="000000" w:themeColor="text1"/>
              </w:rPr>
              <w:t>;</w:t>
            </w:r>
          </w:p>
          <w:p w14:paraId="0E96B30B" w14:textId="4D04105F" w:rsidR="00055649" w:rsidRPr="00E66E8C" w:rsidRDefault="00055649" w:rsidP="009A649C">
            <w:pPr>
              <w:numPr>
                <w:ilvl w:val="0"/>
                <w:numId w:val="2"/>
              </w:numPr>
              <w:ind w:left="297" w:right="63" w:hanging="270"/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  <w:lang w:eastAsia="ro-RO"/>
              </w:rPr>
              <w:t xml:space="preserve">Consiliului Legislativ; </w:t>
            </w:r>
          </w:p>
          <w:p w14:paraId="465F5E60" w14:textId="68006840" w:rsidR="00CB03B4" w:rsidRPr="00E66E8C" w:rsidRDefault="00055649" w:rsidP="009A649C">
            <w:pPr>
              <w:numPr>
                <w:ilvl w:val="0"/>
                <w:numId w:val="2"/>
              </w:numPr>
              <w:ind w:left="297" w:right="63" w:hanging="270"/>
              <w:jc w:val="both"/>
              <w:rPr>
                <w:color w:val="000000" w:themeColor="text1"/>
              </w:rPr>
            </w:pPr>
            <w:r w:rsidRPr="00E66E8C">
              <w:rPr>
                <w:bCs/>
                <w:color w:val="000000" w:themeColor="text1"/>
                <w:lang w:eastAsia="ro-RO"/>
              </w:rPr>
              <w:t>Consiliului Economic şi Social</w:t>
            </w:r>
            <w:r w:rsidR="00D542E7">
              <w:rPr>
                <w:bCs/>
                <w:color w:val="000000" w:themeColor="text1"/>
                <w:lang w:eastAsia="ro-RO"/>
              </w:rPr>
              <w:t xml:space="preserve"> – nu este cazul, nefiind o politică nouă</w:t>
            </w:r>
            <w:r w:rsidR="00CB03B4" w:rsidRPr="00E66E8C">
              <w:rPr>
                <w:bCs/>
                <w:color w:val="000000" w:themeColor="text1"/>
                <w:lang w:eastAsia="ro-RO"/>
              </w:rPr>
              <w:t>;</w:t>
            </w:r>
          </w:p>
          <w:p w14:paraId="3F2E9B95" w14:textId="77777777" w:rsidR="00B20530" w:rsidRPr="00005D7D" w:rsidRDefault="00B20530" w:rsidP="009A649C">
            <w:pPr>
              <w:numPr>
                <w:ilvl w:val="0"/>
                <w:numId w:val="2"/>
              </w:numPr>
              <w:ind w:left="297" w:right="63" w:hanging="270"/>
              <w:jc w:val="both"/>
              <w:rPr>
                <w:color w:val="000000" w:themeColor="text1"/>
              </w:rPr>
            </w:pPr>
            <w:r w:rsidRPr="00E66E8C">
              <w:rPr>
                <w:bCs/>
                <w:color w:val="000000" w:themeColor="text1"/>
                <w:lang w:eastAsia="ro-RO"/>
              </w:rPr>
              <w:t>Consiliului Concuren</w:t>
            </w:r>
            <w:r w:rsidR="00D5608A" w:rsidRPr="00E66E8C">
              <w:rPr>
                <w:bCs/>
                <w:color w:val="000000" w:themeColor="text1"/>
                <w:lang w:eastAsia="ro-RO"/>
              </w:rPr>
              <w:t>ț</w:t>
            </w:r>
            <w:r w:rsidRPr="00E66E8C">
              <w:rPr>
                <w:bCs/>
                <w:color w:val="000000" w:themeColor="text1"/>
                <w:lang w:eastAsia="ro-RO"/>
              </w:rPr>
              <w:t>ei</w:t>
            </w:r>
            <w:r w:rsidR="00D542E7">
              <w:rPr>
                <w:bCs/>
                <w:color w:val="000000" w:themeColor="text1"/>
                <w:lang w:eastAsia="ro-RO"/>
              </w:rPr>
              <w:t xml:space="preserve"> – adresa nr. 4567/04.04.2022</w:t>
            </w:r>
            <w:r w:rsidRPr="00E66E8C">
              <w:rPr>
                <w:bCs/>
                <w:color w:val="000000" w:themeColor="text1"/>
                <w:lang w:eastAsia="ro-RO"/>
              </w:rPr>
              <w:t>.</w:t>
            </w:r>
          </w:p>
          <w:p w14:paraId="53B45740" w14:textId="6253AD5C" w:rsidR="00005D7D" w:rsidRPr="00E66E8C" w:rsidRDefault="00005D7D" w:rsidP="00005D7D">
            <w:pPr>
              <w:ind w:left="297" w:right="63"/>
              <w:jc w:val="both"/>
              <w:rPr>
                <w:color w:val="000000" w:themeColor="text1"/>
              </w:rPr>
            </w:pPr>
          </w:p>
        </w:tc>
      </w:tr>
      <w:tr w:rsidR="009A649C" w:rsidRPr="00E66E8C" w14:paraId="6E8FCFA4" w14:textId="77777777" w:rsidTr="00A411DC">
        <w:trPr>
          <w:trHeight w:val="54"/>
        </w:trPr>
        <w:tc>
          <w:tcPr>
            <w:tcW w:w="3964" w:type="dxa"/>
            <w:gridSpan w:val="2"/>
          </w:tcPr>
          <w:p w14:paraId="0CCAE04A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6. Alte informaţii</w:t>
            </w:r>
          </w:p>
        </w:tc>
        <w:tc>
          <w:tcPr>
            <w:tcW w:w="5954" w:type="dxa"/>
            <w:gridSpan w:val="6"/>
          </w:tcPr>
          <w:p w14:paraId="5E0B3226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</w:tr>
      <w:tr w:rsidR="009A649C" w:rsidRPr="00E66E8C" w14:paraId="3057460E" w14:textId="77777777" w:rsidTr="00A411DC">
        <w:tc>
          <w:tcPr>
            <w:tcW w:w="9918" w:type="dxa"/>
            <w:gridSpan w:val="8"/>
          </w:tcPr>
          <w:p w14:paraId="2946709B" w14:textId="47221966" w:rsidR="00922303" w:rsidRDefault="00922303" w:rsidP="009A649C">
            <w:pPr>
              <w:jc w:val="center"/>
              <w:rPr>
                <w:b/>
                <w:i/>
                <w:color w:val="000000" w:themeColor="text1"/>
              </w:rPr>
            </w:pPr>
          </w:p>
          <w:p w14:paraId="1E1DBFBD" w14:textId="6AD93155" w:rsidR="00055649" w:rsidRPr="00E66E8C" w:rsidRDefault="00055649" w:rsidP="009A649C">
            <w:pPr>
              <w:jc w:val="center"/>
              <w:rPr>
                <w:b/>
                <w:i/>
                <w:color w:val="000000" w:themeColor="text1"/>
              </w:rPr>
            </w:pPr>
            <w:r w:rsidRPr="00E66E8C">
              <w:rPr>
                <w:b/>
                <w:i/>
                <w:color w:val="000000" w:themeColor="text1"/>
              </w:rPr>
              <w:t>Secţiunea a 7-a</w:t>
            </w:r>
          </w:p>
          <w:p w14:paraId="7651848F" w14:textId="1DBCC78D" w:rsidR="00B41688" w:rsidRPr="00E66E8C" w:rsidRDefault="00055649" w:rsidP="00E66E8C">
            <w:pPr>
              <w:jc w:val="center"/>
              <w:rPr>
                <w:color w:val="000000" w:themeColor="text1"/>
              </w:rPr>
            </w:pPr>
            <w:r w:rsidRPr="00E66E8C">
              <w:rPr>
                <w:b/>
                <w:i/>
                <w:color w:val="000000" w:themeColor="text1"/>
              </w:rPr>
              <w:t>Activităţi de informare publică privind elaborarea şi implementarea proiectului de act normativ</w:t>
            </w:r>
          </w:p>
        </w:tc>
      </w:tr>
      <w:tr w:rsidR="009A649C" w:rsidRPr="00E66E8C" w14:paraId="5A0C7532" w14:textId="77777777" w:rsidTr="00A411DC">
        <w:tc>
          <w:tcPr>
            <w:tcW w:w="3964" w:type="dxa"/>
            <w:gridSpan w:val="2"/>
          </w:tcPr>
          <w:p w14:paraId="1F275457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1. Informarea societăţii civile cu privire la necesitatea elaborării prezentului act normativ</w:t>
            </w:r>
          </w:p>
        </w:tc>
        <w:tc>
          <w:tcPr>
            <w:tcW w:w="5954" w:type="dxa"/>
            <w:gridSpan w:val="6"/>
          </w:tcPr>
          <w:p w14:paraId="42DB4B7F" w14:textId="77777777" w:rsidR="00AC2D11" w:rsidRPr="00E66E8C" w:rsidRDefault="00AC2D11" w:rsidP="009A649C">
            <w:pPr>
              <w:snapToGrid w:val="0"/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În procesul de elaborare a proiectului de act normativ au fost respectate procedurile prevăzute de Legea nr. 52/2003 privind transparența decizională în administrația publică, republicată.</w:t>
            </w:r>
          </w:p>
          <w:p w14:paraId="71EC2252" w14:textId="4C1E000F" w:rsidR="00AC2D11" w:rsidRPr="00E66E8C" w:rsidRDefault="00AC2D11" w:rsidP="009A649C">
            <w:pPr>
              <w:snapToGrid w:val="0"/>
              <w:jc w:val="both"/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 xml:space="preserve">Proiectul de act normativ a fost publicat pe site-ul www.energie.gov.ro </w:t>
            </w:r>
          </w:p>
          <w:p w14:paraId="0AEDA62B" w14:textId="28371186" w:rsidR="008C503E" w:rsidRPr="00E66E8C" w:rsidRDefault="008C503E" w:rsidP="009A649C">
            <w:pPr>
              <w:jc w:val="both"/>
              <w:rPr>
                <w:color w:val="000000" w:themeColor="text1"/>
              </w:rPr>
            </w:pPr>
          </w:p>
        </w:tc>
      </w:tr>
      <w:tr w:rsidR="009A649C" w:rsidRPr="00E66E8C" w14:paraId="384AC8C4" w14:textId="77777777" w:rsidTr="00A411DC">
        <w:tc>
          <w:tcPr>
            <w:tcW w:w="3964" w:type="dxa"/>
            <w:gridSpan w:val="2"/>
          </w:tcPr>
          <w:p w14:paraId="2AF8D422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2. Informarea societăţii civile cu privire la eventualul impact asupra mediului în urma implementării prezentului act normativ, precum si efectele asupra sănătăţii şi securităţii cetăţenilor sau diversităţii biologice</w:t>
            </w:r>
          </w:p>
        </w:tc>
        <w:tc>
          <w:tcPr>
            <w:tcW w:w="5954" w:type="dxa"/>
            <w:gridSpan w:val="6"/>
          </w:tcPr>
          <w:p w14:paraId="26EEF571" w14:textId="77777777" w:rsidR="008C503E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Nu este cazul.</w:t>
            </w:r>
          </w:p>
        </w:tc>
      </w:tr>
      <w:tr w:rsidR="009A649C" w:rsidRPr="00E66E8C" w14:paraId="42D09A03" w14:textId="77777777" w:rsidTr="00A411DC">
        <w:tc>
          <w:tcPr>
            <w:tcW w:w="3964" w:type="dxa"/>
            <w:gridSpan w:val="2"/>
          </w:tcPr>
          <w:p w14:paraId="2804E371" w14:textId="77777777" w:rsidR="00055649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3. Alte informaţii</w:t>
            </w:r>
          </w:p>
        </w:tc>
        <w:tc>
          <w:tcPr>
            <w:tcW w:w="5954" w:type="dxa"/>
            <w:gridSpan w:val="6"/>
          </w:tcPr>
          <w:p w14:paraId="5E963087" w14:textId="77777777" w:rsidR="00055649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Nu este cazul.</w:t>
            </w:r>
          </w:p>
        </w:tc>
      </w:tr>
      <w:tr w:rsidR="009A649C" w:rsidRPr="00E66E8C" w14:paraId="4C66BD32" w14:textId="77777777" w:rsidTr="00A411DC">
        <w:tc>
          <w:tcPr>
            <w:tcW w:w="9918" w:type="dxa"/>
            <w:gridSpan w:val="8"/>
          </w:tcPr>
          <w:p w14:paraId="0F665666" w14:textId="22967150" w:rsidR="00B41688" w:rsidRDefault="00B41688" w:rsidP="009A649C">
            <w:pPr>
              <w:jc w:val="center"/>
              <w:rPr>
                <w:rFonts w:eastAsia="Calibri"/>
                <w:b/>
                <w:bCs/>
                <w:i/>
                <w:color w:val="000000" w:themeColor="text1"/>
                <w:lang w:eastAsia="ro-RO"/>
              </w:rPr>
            </w:pPr>
          </w:p>
          <w:p w14:paraId="57B13F4D" w14:textId="18A93AF7" w:rsidR="00055649" w:rsidRPr="00E66E8C" w:rsidRDefault="00055649" w:rsidP="009A649C">
            <w:pPr>
              <w:jc w:val="center"/>
              <w:rPr>
                <w:rFonts w:eastAsia="Calibri"/>
                <w:b/>
                <w:bCs/>
                <w:i/>
                <w:color w:val="000000" w:themeColor="text1"/>
                <w:lang w:eastAsia="ro-RO"/>
              </w:rPr>
            </w:pPr>
            <w:r w:rsidRPr="00E66E8C">
              <w:rPr>
                <w:rFonts w:eastAsia="Calibri"/>
                <w:b/>
                <w:bCs/>
                <w:i/>
                <w:color w:val="000000" w:themeColor="text1"/>
                <w:lang w:eastAsia="ro-RO"/>
              </w:rPr>
              <w:lastRenderedPageBreak/>
              <w:t>Secţiunea a 8-a</w:t>
            </w:r>
          </w:p>
          <w:p w14:paraId="1EF9792A" w14:textId="77777777" w:rsidR="00B41688" w:rsidRDefault="00055649" w:rsidP="00E66E8C">
            <w:pPr>
              <w:jc w:val="center"/>
              <w:rPr>
                <w:rFonts w:eastAsia="Calibri"/>
                <w:b/>
                <w:bCs/>
                <w:i/>
                <w:color w:val="000000" w:themeColor="text1"/>
                <w:lang w:eastAsia="ro-RO"/>
              </w:rPr>
            </w:pPr>
            <w:r w:rsidRPr="00E66E8C">
              <w:rPr>
                <w:rFonts w:eastAsia="Calibri"/>
                <w:b/>
                <w:bCs/>
                <w:i/>
                <w:color w:val="000000" w:themeColor="text1"/>
                <w:lang w:eastAsia="ro-RO"/>
              </w:rPr>
              <w:t>Măsuri de implementare</w:t>
            </w:r>
          </w:p>
          <w:p w14:paraId="45D6617C" w14:textId="63A9FF88" w:rsidR="000A1CCA" w:rsidRPr="00E66E8C" w:rsidRDefault="000A1CCA" w:rsidP="00E66E8C">
            <w:pPr>
              <w:jc w:val="center"/>
              <w:rPr>
                <w:color w:val="000000" w:themeColor="text1"/>
              </w:rPr>
            </w:pPr>
          </w:p>
        </w:tc>
      </w:tr>
      <w:tr w:rsidR="009A649C" w:rsidRPr="00E66E8C" w14:paraId="546D4DDF" w14:textId="77777777" w:rsidTr="00A411DC">
        <w:tc>
          <w:tcPr>
            <w:tcW w:w="3964" w:type="dxa"/>
            <w:gridSpan w:val="2"/>
          </w:tcPr>
          <w:p w14:paraId="1C74F744" w14:textId="77777777" w:rsidR="00055649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lastRenderedPageBreak/>
              <w:t>1. M</w:t>
            </w:r>
            <w:r w:rsidR="00A500A9" w:rsidRPr="00E66E8C">
              <w:rPr>
                <w:b/>
                <w:color w:val="000000" w:themeColor="text1"/>
              </w:rPr>
              <w:t>ă</w:t>
            </w:r>
            <w:r w:rsidRPr="00E66E8C">
              <w:rPr>
                <w:b/>
                <w:color w:val="000000" w:themeColor="text1"/>
              </w:rPr>
              <w:t>surile de punere în aplicare a prezentului act normativ de către autorităţile administraţiei publice centrale si/sau locale - înfiinţarea unor noi organisme sau extinderea competentelor instituţiilor existente</w:t>
            </w:r>
          </w:p>
        </w:tc>
        <w:tc>
          <w:tcPr>
            <w:tcW w:w="5954" w:type="dxa"/>
            <w:gridSpan w:val="6"/>
          </w:tcPr>
          <w:p w14:paraId="4E3EA5D9" w14:textId="77777777" w:rsidR="00055649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Prezentul act normativ nu se referă la acest subiect.</w:t>
            </w:r>
          </w:p>
        </w:tc>
      </w:tr>
      <w:tr w:rsidR="009A649C" w:rsidRPr="00E66E8C" w14:paraId="4E2AA518" w14:textId="77777777" w:rsidTr="00A411DC">
        <w:tc>
          <w:tcPr>
            <w:tcW w:w="3964" w:type="dxa"/>
            <w:gridSpan w:val="2"/>
          </w:tcPr>
          <w:p w14:paraId="00514E44" w14:textId="77777777" w:rsidR="00055649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b/>
                <w:color w:val="000000" w:themeColor="text1"/>
              </w:rPr>
              <w:t>2. Alte informaţii</w:t>
            </w:r>
          </w:p>
        </w:tc>
        <w:tc>
          <w:tcPr>
            <w:tcW w:w="5954" w:type="dxa"/>
            <w:gridSpan w:val="6"/>
          </w:tcPr>
          <w:p w14:paraId="4A34298B" w14:textId="77777777" w:rsidR="00055649" w:rsidRPr="00E66E8C" w:rsidRDefault="00055649" w:rsidP="009A649C">
            <w:pPr>
              <w:rPr>
                <w:color w:val="000000" w:themeColor="text1"/>
              </w:rPr>
            </w:pPr>
            <w:r w:rsidRPr="00E66E8C">
              <w:rPr>
                <w:color w:val="000000" w:themeColor="text1"/>
              </w:rPr>
              <w:t>-</w:t>
            </w:r>
          </w:p>
        </w:tc>
      </w:tr>
    </w:tbl>
    <w:p w14:paraId="5C9118B5" w14:textId="0F5B3FAE" w:rsidR="00922303" w:rsidRPr="00E66E8C" w:rsidRDefault="00AB526B" w:rsidP="005F78E5">
      <w:pPr>
        <w:spacing w:before="240" w:line="276" w:lineRule="auto"/>
        <w:jc w:val="both"/>
        <w:rPr>
          <w:b/>
        </w:rPr>
      </w:pPr>
      <w:r w:rsidRPr="00E66E8C">
        <w:rPr>
          <w:bCs/>
        </w:rPr>
        <w:t xml:space="preserve">In temeiul art. 115 alin. (4) din Constituția României, republicată, s-a elaborat alăturatul proiect de </w:t>
      </w:r>
      <w:r w:rsidR="005F78E5" w:rsidRPr="00E66E8C">
        <w:rPr>
          <w:bCs/>
        </w:rPr>
        <w:t>Ordonanță de urgență pentru modificarea și completarea Ordonanței de urgență</w:t>
      </w:r>
      <w:r w:rsidR="00AD598A" w:rsidRPr="00E66E8C">
        <w:rPr>
          <w:bCs/>
        </w:rPr>
        <w:t xml:space="preserve"> a Guvernului</w:t>
      </w:r>
      <w:r w:rsidR="005F78E5" w:rsidRPr="00E66E8C">
        <w:rPr>
          <w:bCs/>
        </w:rPr>
        <w:t xml:space="preserve"> nr. 27/2022 privind măsurile aplicabile clienților finali din piața de energie electrică și gaze naturale în perioada 1 aprilie 2022—31 martie 2023, precum și pentru modificarea și completarea unor acte normative din domeniul energiei.</w:t>
      </w:r>
    </w:p>
    <w:p w14:paraId="780A8E4E" w14:textId="696372C6" w:rsidR="002B221A" w:rsidRPr="00E66E8C" w:rsidRDefault="002B221A" w:rsidP="00CF735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12"/>
        <w:gridCol w:w="4818"/>
      </w:tblGrid>
      <w:tr w:rsidR="002B41D8" w:rsidRPr="00E66E8C" w14:paraId="7E668A8A" w14:textId="77777777" w:rsidTr="00E67C97">
        <w:tc>
          <w:tcPr>
            <w:tcW w:w="4808" w:type="dxa"/>
          </w:tcPr>
          <w:p w14:paraId="59C170B8" w14:textId="22B5E6C1" w:rsidR="00CF735F" w:rsidRPr="00E66E8C" w:rsidRDefault="00CF735F" w:rsidP="00CF735F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 xml:space="preserve">MINISTRUL ENERGIEI </w:t>
            </w:r>
          </w:p>
          <w:p w14:paraId="6D0E2C91" w14:textId="77777777" w:rsidR="00CF735F" w:rsidRPr="00E66E8C" w:rsidRDefault="00CF735F" w:rsidP="00CF735F">
            <w:pPr>
              <w:spacing w:line="360" w:lineRule="auto"/>
              <w:jc w:val="center"/>
              <w:rPr>
                <w:b/>
              </w:rPr>
            </w:pPr>
          </w:p>
          <w:p w14:paraId="315BB242" w14:textId="4214C2C8" w:rsidR="00CF735F" w:rsidRPr="00E66E8C" w:rsidRDefault="00CF735F" w:rsidP="00CF735F">
            <w:pPr>
              <w:spacing w:line="360" w:lineRule="auto"/>
              <w:jc w:val="center"/>
              <w:rPr>
                <w:b/>
                <w:bCs/>
              </w:rPr>
            </w:pPr>
            <w:r w:rsidRPr="00E66E8C">
              <w:rPr>
                <w:b/>
              </w:rPr>
              <w:t>Virgil</w:t>
            </w:r>
            <w:r w:rsidR="00B41688">
              <w:rPr>
                <w:b/>
              </w:rPr>
              <w:t>-</w:t>
            </w:r>
            <w:r w:rsidRPr="00E66E8C">
              <w:rPr>
                <w:b/>
              </w:rPr>
              <w:t>Daniel POPESCU</w:t>
            </w:r>
          </w:p>
          <w:p w14:paraId="4C01B5A3" w14:textId="77777777" w:rsidR="004E4352" w:rsidRPr="00E66E8C" w:rsidRDefault="004E4352" w:rsidP="00A411DC">
            <w:pPr>
              <w:spacing w:line="360" w:lineRule="auto"/>
              <w:rPr>
                <w:b/>
                <w:bCs/>
              </w:rPr>
            </w:pPr>
          </w:p>
          <w:p w14:paraId="75B8DAA0" w14:textId="3C921A24" w:rsidR="004E4352" w:rsidRPr="00E66E8C" w:rsidRDefault="004E4352" w:rsidP="002B41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0" w:type="dxa"/>
            <w:gridSpan w:val="2"/>
          </w:tcPr>
          <w:p w14:paraId="573E6863" w14:textId="6C42CD0E" w:rsidR="00CF735F" w:rsidRPr="00E66E8C" w:rsidRDefault="00CF735F" w:rsidP="00CF735F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>MINISTRUL MUNCII ȘI SOLIDARITĂȚII SOCIALE</w:t>
            </w:r>
          </w:p>
          <w:p w14:paraId="4FA81626" w14:textId="1037866B" w:rsidR="002B41D8" w:rsidRPr="00E66E8C" w:rsidRDefault="00CF735F" w:rsidP="00CF735F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  <w:bCs/>
              </w:rPr>
              <w:t>Marius-Constantin BUDĂI</w:t>
            </w:r>
          </w:p>
        </w:tc>
      </w:tr>
      <w:tr w:rsidR="002B41D8" w:rsidRPr="00E66E8C" w14:paraId="404F55FF" w14:textId="77777777" w:rsidTr="00E67C97">
        <w:tc>
          <w:tcPr>
            <w:tcW w:w="4808" w:type="dxa"/>
          </w:tcPr>
          <w:p w14:paraId="1E927618" w14:textId="77777777" w:rsidR="00337C25" w:rsidRPr="00E66E8C" w:rsidRDefault="00E2028B" w:rsidP="00E2028B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 xml:space="preserve">MINISTRUL </w:t>
            </w:r>
            <w:r w:rsidR="00E827F2" w:rsidRPr="00E66E8C">
              <w:rPr>
                <w:b/>
              </w:rPr>
              <w:t>ECONOMIEI</w:t>
            </w:r>
          </w:p>
          <w:p w14:paraId="00AB9726" w14:textId="7949C834" w:rsidR="00E2028B" w:rsidRPr="00E66E8C" w:rsidRDefault="00E2028B" w:rsidP="00E2028B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 xml:space="preserve"> </w:t>
            </w:r>
          </w:p>
          <w:p w14:paraId="5BF83226" w14:textId="06526C59" w:rsidR="00E2028B" w:rsidRPr="00E66E8C" w:rsidRDefault="00E827F2" w:rsidP="00E2028B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>Florin Marian SPATARU</w:t>
            </w:r>
          </w:p>
          <w:p w14:paraId="23134549" w14:textId="3555C8C7" w:rsidR="00B41688" w:rsidRPr="00E66E8C" w:rsidRDefault="00B41688" w:rsidP="00E2028B">
            <w:pPr>
              <w:spacing w:line="360" w:lineRule="auto"/>
              <w:jc w:val="center"/>
              <w:rPr>
                <w:b/>
              </w:rPr>
            </w:pPr>
          </w:p>
          <w:p w14:paraId="5F20B21C" w14:textId="045DC54D" w:rsidR="00B41688" w:rsidRPr="00E66E8C" w:rsidRDefault="00B41688" w:rsidP="00E2028B">
            <w:pPr>
              <w:spacing w:line="360" w:lineRule="auto"/>
              <w:jc w:val="center"/>
              <w:rPr>
                <w:b/>
              </w:rPr>
            </w:pPr>
          </w:p>
          <w:p w14:paraId="38B4C038" w14:textId="77777777" w:rsidR="00B41688" w:rsidRPr="00E66E8C" w:rsidRDefault="00B41688" w:rsidP="00B41688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>MINISTRUL FINANȚELOR</w:t>
            </w:r>
          </w:p>
          <w:p w14:paraId="093F0814" w14:textId="77777777" w:rsidR="00B41688" w:rsidRPr="00E66E8C" w:rsidRDefault="00B41688" w:rsidP="00B41688">
            <w:pPr>
              <w:spacing w:line="360" w:lineRule="auto"/>
              <w:jc w:val="center"/>
              <w:rPr>
                <w:b/>
              </w:rPr>
            </w:pPr>
          </w:p>
          <w:p w14:paraId="3EDDCF10" w14:textId="522591AD" w:rsidR="00337C25" w:rsidRPr="00E66E8C" w:rsidRDefault="00B41688" w:rsidP="00B41688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>Adrian CÂCIU</w:t>
            </w:r>
          </w:p>
        </w:tc>
        <w:tc>
          <w:tcPr>
            <w:tcW w:w="4830" w:type="dxa"/>
            <w:gridSpan w:val="2"/>
          </w:tcPr>
          <w:p w14:paraId="247AB008" w14:textId="432E013F" w:rsidR="00AE1B58" w:rsidRPr="00E66E8C" w:rsidRDefault="00AE1B58" w:rsidP="00AE1B58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 xml:space="preserve">SECRETAR GENERAL AL GUVERNULUI </w:t>
            </w:r>
          </w:p>
          <w:p w14:paraId="0A89FD01" w14:textId="77777777" w:rsidR="00AE1B58" w:rsidRPr="00E66E8C" w:rsidRDefault="00AE1B58" w:rsidP="00AE1B58">
            <w:pPr>
              <w:spacing w:line="360" w:lineRule="auto"/>
              <w:jc w:val="center"/>
              <w:rPr>
                <w:b/>
              </w:rPr>
            </w:pPr>
          </w:p>
          <w:p w14:paraId="42B55B5D" w14:textId="5F5EF829" w:rsidR="00AE1B58" w:rsidRPr="00E66E8C" w:rsidRDefault="00AE1B58" w:rsidP="00AE1B58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>Marian NEACȘU</w:t>
            </w:r>
          </w:p>
          <w:p w14:paraId="71AE4E8E" w14:textId="515FBDF1" w:rsidR="00B41688" w:rsidRDefault="00B41688" w:rsidP="00AE1B58">
            <w:pPr>
              <w:spacing w:line="360" w:lineRule="auto"/>
              <w:jc w:val="center"/>
              <w:rPr>
                <w:b/>
              </w:rPr>
            </w:pPr>
          </w:p>
          <w:p w14:paraId="61069AEB" w14:textId="55721771" w:rsidR="009D178D" w:rsidRDefault="009D178D" w:rsidP="00AE1B58">
            <w:pPr>
              <w:spacing w:line="360" w:lineRule="auto"/>
              <w:jc w:val="center"/>
              <w:rPr>
                <w:b/>
              </w:rPr>
            </w:pPr>
          </w:p>
          <w:p w14:paraId="5E5D6743" w14:textId="4AC6E82F" w:rsidR="002B41D8" w:rsidRPr="00E66E8C" w:rsidRDefault="002B41D8" w:rsidP="00684C86">
            <w:pPr>
              <w:spacing w:line="360" w:lineRule="auto"/>
              <w:jc w:val="center"/>
              <w:rPr>
                <w:b/>
              </w:rPr>
            </w:pPr>
          </w:p>
        </w:tc>
      </w:tr>
      <w:tr w:rsidR="00CF735F" w:rsidRPr="00E66E8C" w14:paraId="297EAF68" w14:textId="77777777" w:rsidTr="00E67C97">
        <w:tc>
          <w:tcPr>
            <w:tcW w:w="9638" w:type="dxa"/>
            <w:gridSpan w:val="3"/>
          </w:tcPr>
          <w:p w14:paraId="70ED109E" w14:textId="77777777" w:rsidR="00CF735F" w:rsidRPr="00E66E8C" w:rsidRDefault="00CF735F" w:rsidP="00AE1B58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>Avizat</w:t>
            </w:r>
          </w:p>
          <w:p w14:paraId="544656D9" w14:textId="68391525" w:rsidR="00A411DC" w:rsidRPr="00E66E8C" w:rsidRDefault="00A411DC" w:rsidP="00AE1B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B41D8" w:rsidRPr="00E66E8C" w14:paraId="24A039F4" w14:textId="77777777" w:rsidTr="00684C86">
        <w:tc>
          <w:tcPr>
            <w:tcW w:w="4820" w:type="dxa"/>
            <w:gridSpan w:val="2"/>
          </w:tcPr>
          <w:p w14:paraId="69FC5EC7" w14:textId="77777777" w:rsidR="00684C86" w:rsidRPr="00E66E8C" w:rsidRDefault="00684C86" w:rsidP="00684C86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>AUTORITATEA NATIONALA DE REGLEMENTARE IN DOMENIUL ENERGIEI</w:t>
            </w:r>
          </w:p>
          <w:p w14:paraId="11CCEC36" w14:textId="77777777" w:rsidR="00684C86" w:rsidRPr="00E66E8C" w:rsidRDefault="00684C86" w:rsidP="00684C86">
            <w:pPr>
              <w:spacing w:line="360" w:lineRule="auto"/>
              <w:jc w:val="center"/>
              <w:rPr>
                <w:b/>
              </w:rPr>
            </w:pPr>
          </w:p>
          <w:p w14:paraId="7D8E8704" w14:textId="77777777" w:rsidR="00684C86" w:rsidRPr="00E66E8C" w:rsidRDefault="00684C86" w:rsidP="00684C86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 xml:space="preserve">Dumitru </w:t>
            </w:r>
            <w:r>
              <w:rPr>
                <w:b/>
              </w:rPr>
              <w:t>CHIRIȚĂ</w:t>
            </w:r>
          </w:p>
          <w:p w14:paraId="3EA2FD9D" w14:textId="2E517F19" w:rsidR="002B41D8" w:rsidRPr="00E66E8C" w:rsidRDefault="002B41D8" w:rsidP="00D25DC2">
            <w:pPr>
              <w:spacing w:line="360" w:lineRule="auto"/>
              <w:rPr>
                <w:b/>
              </w:rPr>
            </w:pPr>
          </w:p>
        </w:tc>
        <w:tc>
          <w:tcPr>
            <w:tcW w:w="4818" w:type="dxa"/>
          </w:tcPr>
          <w:p w14:paraId="2422EA6D" w14:textId="5F441561" w:rsidR="002B41D8" w:rsidRDefault="002B41D8" w:rsidP="00684C86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</w:rPr>
              <w:t>MINISTRUL JUSTIŢIEI</w:t>
            </w:r>
          </w:p>
          <w:p w14:paraId="51F519CE" w14:textId="77777777" w:rsidR="00FA62D6" w:rsidRDefault="00FA62D6" w:rsidP="00684C86">
            <w:pPr>
              <w:spacing w:line="360" w:lineRule="auto"/>
              <w:jc w:val="center"/>
              <w:rPr>
                <w:b/>
              </w:rPr>
            </w:pPr>
          </w:p>
          <w:p w14:paraId="0DE8520B" w14:textId="07859F4D" w:rsidR="009D178D" w:rsidRPr="00E66E8C" w:rsidRDefault="002B41D8" w:rsidP="00684C86">
            <w:pPr>
              <w:spacing w:line="360" w:lineRule="auto"/>
              <w:jc w:val="center"/>
              <w:rPr>
                <w:b/>
              </w:rPr>
            </w:pPr>
            <w:r w:rsidRPr="00E66E8C">
              <w:rPr>
                <w:b/>
                <w:bCs/>
              </w:rPr>
              <w:t>Marian</w:t>
            </w:r>
            <w:r w:rsidR="00B41688">
              <w:rPr>
                <w:b/>
                <w:bCs/>
              </w:rPr>
              <w:t>-</w:t>
            </w:r>
            <w:r w:rsidRPr="00E66E8C">
              <w:rPr>
                <w:b/>
                <w:bCs/>
              </w:rPr>
              <w:t>Cătălin PREDOIU</w:t>
            </w:r>
          </w:p>
        </w:tc>
      </w:tr>
    </w:tbl>
    <w:p w14:paraId="70519525" w14:textId="6260517C" w:rsidR="00C82E45" w:rsidRPr="00511316" w:rsidRDefault="00C82E45" w:rsidP="00346650">
      <w:pPr>
        <w:spacing w:line="480" w:lineRule="auto"/>
      </w:pPr>
    </w:p>
    <w:sectPr w:rsidR="00C82E45" w:rsidRPr="00511316" w:rsidSect="00A411DC">
      <w:footerReference w:type="default" r:id="rId8"/>
      <w:pgSz w:w="11906" w:h="16838" w:code="9"/>
      <w:pgMar w:top="1304" w:right="1134" w:bottom="130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D1DE" w14:textId="77777777" w:rsidR="007815EC" w:rsidRDefault="007815EC" w:rsidP="00C20A53">
      <w:r>
        <w:separator/>
      </w:r>
    </w:p>
  </w:endnote>
  <w:endnote w:type="continuationSeparator" w:id="0">
    <w:p w14:paraId="31970A96" w14:textId="77777777" w:rsidR="007815EC" w:rsidRDefault="007815EC" w:rsidP="00C2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EE"/>
    <w:family w:val="roman"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616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2429" w14:textId="207AD9C2" w:rsidR="00B20530" w:rsidRDefault="00B20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A418A8" w14:textId="77777777" w:rsidR="00B20530" w:rsidRDefault="00B20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96A3" w14:textId="77777777" w:rsidR="007815EC" w:rsidRDefault="007815EC" w:rsidP="00C20A53">
      <w:r>
        <w:separator/>
      </w:r>
    </w:p>
  </w:footnote>
  <w:footnote w:type="continuationSeparator" w:id="0">
    <w:p w14:paraId="716A8943" w14:textId="77777777" w:rsidR="007815EC" w:rsidRDefault="007815EC" w:rsidP="00C2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3F2"/>
    <w:multiLevelType w:val="hybridMultilevel"/>
    <w:tmpl w:val="94305C6A"/>
    <w:lvl w:ilvl="0" w:tplc="D9D45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10C9"/>
    <w:multiLevelType w:val="hybridMultilevel"/>
    <w:tmpl w:val="D146EBF0"/>
    <w:lvl w:ilvl="0" w:tplc="0974E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926"/>
    <w:multiLevelType w:val="hybridMultilevel"/>
    <w:tmpl w:val="A36048FA"/>
    <w:lvl w:ilvl="0" w:tplc="F5CA07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401DF"/>
    <w:multiLevelType w:val="hybridMultilevel"/>
    <w:tmpl w:val="4FD4FF92"/>
    <w:lvl w:ilvl="0" w:tplc="C122B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A0910"/>
    <w:multiLevelType w:val="hybridMultilevel"/>
    <w:tmpl w:val="21AE9CC0"/>
    <w:lvl w:ilvl="0" w:tplc="05EC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308A8"/>
    <w:multiLevelType w:val="hybridMultilevel"/>
    <w:tmpl w:val="09FC83B8"/>
    <w:lvl w:ilvl="0" w:tplc="13748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53"/>
    <w:rsid w:val="00005D7D"/>
    <w:rsid w:val="00006814"/>
    <w:rsid w:val="00022BDA"/>
    <w:rsid w:val="00025C88"/>
    <w:rsid w:val="000424AA"/>
    <w:rsid w:val="0004514F"/>
    <w:rsid w:val="00055649"/>
    <w:rsid w:val="000661A2"/>
    <w:rsid w:val="0007729F"/>
    <w:rsid w:val="00080058"/>
    <w:rsid w:val="0008294B"/>
    <w:rsid w:val="000A1CCA"/>
    <w:rsid w:val="000B528C"/>
    <w:rsid w:val="000B70FE"/>
    <w:rsid w:val="000C5805"/>
    <w:rsid w:val="000C5DFB"/>
    <w:rsid w:val="000E6E22"/>
    <w:rsid w:val="000E7826"/>
    <w:rsid w:val="000F0572"/>
    <w:rsid w:val="000F57DB"/>
    <w:rsid w:val="00102F71"/>
    <w:rsid w:val="00111CF6"/>
    <w:rsid w:val="00112C08"/>
    <w:rsid w:val="001209A4"/>
    <w:rsid w:val="0013234A"/>
    <w:rsid w:val="00136589"/>
    <w:rsid w:val="00143282"/>
    <w:rsid w:val="001436AC"/>
    <w:rsid w:val="00155263"/>
    <w:rsid w:val="001600B8"/>
    <w:rsid w:val="001621C0"/>
    <w:rsid w:val="00163A19"/>
    <w:rsid w:val="00165126"/>
    <w:rsid w:val="00184AAE"/>
    <w:rsid w:val="001A674D"/>
    <w:rsid w:val="001A764D"/>
    <w:rsid w:val="001B386F"/>
    <w:rsid w:val="001C4D17"/>
    <w:rsid w:val="001F194A"/>
    <w:rsid w:val="001F650E"/>
    <w:rsid w:val="00200AA0"/>
    <w:rsid w:val="0020350A"/>
    <w:rsid w:val="00204742"/>
    <w:rsid w:val="0021055F"/>
    <w:rsid w:val="00211CCB"/>
    <w:rsid w:val="00222995"/>
    <w:rsid w:val="00250753"/>
    <w:rsid w:val="00270140"/>
    <w:rsid w:val="00272D93"/>
    <w:rsid w:val="00272FB4"/>
    <w:rsid w:val="002739FC"/>
    <w:rsid w:val="002854FC"/>
    <w:rsid w:val="0029197B"/>
    <w:rsid w:val="0029442F"/>
    <w:rsid w:val="00295211"/>
    <w:rsid w:val="00295409"/>
    <w:rsid w:val="002A6AD1"/>
    <w:rsid w:val="002B221A"/>
    <w:rsid w:val="002B41D8"/>
    <w:rsid w:val="002E360D"/>
    <w:rsid w:val="002E64AC"/>
    <w:rsid w:val="002F131A"/>
    <w:rsid w:val="002F1671"/>
    <w:rsid w:val="002F5196"/>
    <w:rsid w:val="0031122E"/>
    <w:rsid w:val="00313008"/>
    <w:rsid w:val="00317E1C"/>
    <w:rsid w:val="00337C25"/>
    <w:rsid w:val="00346650"/>
    <w:rsid w:val="00352DEC"/>
    <w:rsid w:val="00361DE7"/>
    <w:rsid w:val="003651BC"/>
    <w:rsid w:val="0036785B"/>
    <w:rsid w:val="00384F32"/>
    <w:rsid w:val="003A25CD"/>
    <w:rsid w:val="003A51E1"/>
    <w:rsid w:val="003A6BF4"/>
    <w:rsid w:val="003B2CBB"/>
    <w:rsid w:val="003B796F"/>
    <w:rsid w:val="003C650F"/>
    <w:rsid w:val="003D6A40"/>
    <w:rsid w:val="003E358F"/>
    <w:rsid w:val="003E730A"/>
    <w:rsid w:val="003F71DF"/>
    <w:rsid w:val="0040093B"/>
    <w:rsid w:val="00405DD9"/>
    <w:rsid w:val="004121DD"/>
    <w:rsid w:val="00423975"/>
    <w:rsid w:val="004274C2"/>
    <w:rsid w:val="00437CE2"/>
    <w:rsid w:val="00442100"/>
    <w:rsid w:val="00452FF3"/>
    <w:rsid w:val="00454EF4"/>
    <w:rsid w:val="004565E2"/>
    <w:rsid w:val="004567D5"/>
    <w:rsid w:val="00462615"/>
    <w:rsid w:val="00464412"/>
    <w:rsid w:val="0047151C"/>
    <w:rsid w:val="00476014"/>
    <w:rsid w:val="004A04D2"/>
    <w:rsid w:val="004B042F"/>
    <w:rsid w:val="004B6CAB"/>
    <w:rsid w:val="004C19EB"/>
    <w:rsid w:val="004C7105"/>
    <w:rsid w:val="004D57DA"/>
    <w:rsid w:val="004D5CCA"/>
    <w:rsid w:val="004D7A37"/>
    <w:rsid w:val="004E4352"/>
    <w:rsid w:val="004F24C0"/>
    <w:rsid w:val="004F286E"/>
    <w:rsid w:val="00511316"/>
    <w:rsid w:val="0051301D"/>
    <w:rsid w:val="00517138"/>
    <w:rsid w:val="00521C9A"/>
    <w:rsid w:val="005220F0"/>
    <w:rsid w:val="00532491"/>
    <w:rsid w:val="0054184C"/>
    <w:rsid w:val="0055258B"/>
    <w:rsid w:val="00553266"/>
    <w:rsid w:val="00554969"/>
    <w:rsid w:val="005647E5"/>
    <w:rsid w:val="00566888"/>
    <w:rsid w:val="00575300"/>
    <w:rsid w:val="005777CA"/>
    <w:rsid w:val="00580445"/>
    <w:rsid w:val="00585840"/>
    <w:rsid w:val="00586239"/>
    <w:rsid w:val="005A0558"/>
    <w:rsid w:val="005D06A4"/>
    <w:rsid w:val="005D69A2"/>
    <w:rsid w:val="005F0AFF"/>
    <w:rsid w:val="005F78E5"/>
    <w:rsid w:val="0061563A"/>
    <w:rsid w:val="00615A4D"/>
    <w:rsid w:val="00636386"/>
    <w:rsid w:val="006407CC"/>
    <w:rsid w:val="0064187D"/>
    <w:rsid w:val="00644DD6"/>
    <w:rsid w:val="00647373"/>
    <w:rsid w:val="00651089"/>
    <w:rsid w:val="006514F3"/>
    <w:rsid w:val="006567CF"/>
    <w:rsid w:val="00656FE4"/>
    <w:rsid w:val="00672C6E"/>
    <w:rsid w:val="006827C9"/>
    <w:rsid w:val="00684B6E"/>
    <w:rsid w:val="00684C86"/>
    <w:rsid w:val="00693759"/>
    <w:rsid w:val="006A3791"/>
    <w:rsid w:val="006A67E9"/>
    <w:rsid w:val="006B1E98"/>
    <w:rsid w:val="006D64B4"/>
    <w:rsid w:val="006D6E04"/>
    <w:rsid w:val="006E2C8E"/>
    <w:rsid w:val="006F0A50"/>
    <w:rsid w:val="006F47B9"/>
    <w:rsid w:val="006F56D8"/>
    <w:rsid w:val="00704B77"/>
    <w:rsid w:val="00707025"/>
    <w:rsid w:val="00724619"/>
    <w:rsid w:val="00744712"/>
    <w:rsid w:val="007520FB"/>
    <w:rsid w:val="007574F2"/>
    <w:rsid w:val="00775B1E"/>
    <w:rsid w:val="007815EC"/>
    <w:rsid w:val="00786BAB"/>
    <w:rsid w:val="007871CD"/>
    <w:rsid w:val="007960F5"/>
    <w:rsid w:val="00796146"/>
    <w:rsid w:val="007A55AC"/>
    <w:rsid w:val="007B0C00"/>
    <w:rsid w:val="007B1608"/>
    <w:rsid w:val="007B5AAA"/>
    <w:rsid w:val="008109F4"/>
    <w:rsid w:val="008212E0"/>
    <w:rsid w:val="00822F5D"/>
    <w:rsid w:val="00823E8F"/>
    <w:rsid w:val="00825189"/>
    <w:rsid w:val="00834FED"/>
    <w:rsid w:val="00837966"/>
    <w:rsid w:val="0084552F"/>
    <w:rsid w:val="00847C81"/>
    <w:rsid w:val="00864904"/>
    <w:rsid w:val="0087046F"/>
    <w:rsid w:val="008715F3"/>
    <w:rsid w:val="0087631F"/>
    <w:rsid w:val="008810C0"/>
    <w:rsid w:val="008827F6"/>
    <w:rsid w:val="008A21BD"/>
    <w:rsid w:val="008A6AF7"/>
    <w:rsid w:val="008C248E"/>
    <w:rsid w:val="008C503E"/>
    <w:rsid w:val="008D28DA"/>
    <w:rsid w:val="008E6BB0"/>
    <w:rsid w:val="008E7016"/>
    <w:rsid w:val="00904E4C"/>
    <w:rsid w:val="00922303"/>
    <w:rsid w:val="00923A56"/>
    <w:rsid w:val="00942504"/>
    <w:rsid w:val="00953C45"/>
    <w:rsid w:val="00955CB9"/>
    <w:rsid w:val="009572D0"/>
    <w:rsid w:val="00960247"/>
    <w:rsid w:val="00967D4C"/>
    <w:rsid w:val="00974616"/>
    <w:rsid w:val="00983B87"/>
    <w:rsid w:val="00983B9D"/>
    <w:rsid w:val="009A39F3"/>
    <w:rsid w:val="009A3D29"/>
    <w:rsid w:val="009A4207"/>
    <w:rsid w:val="009A649C"/>
    <w:rsid w:val="009C2981"/>
    <w:rsid w:val="009C7EF8"/>
    <w:rsid w:val="009D178D"/>
    <w:rsid w:val="009D3483"/>
    <w:rsid w:val="009D684D"/>
    <w:rsid w:val="009D7485"/>
    <w:rsid w:val="00A1498D"/>
    <w:rsid w:val="00A15776"/>
    <w:rsid w:val="00A177C6"/>
    <w:rsid w:val="00A179AF"/>
    <w:rsid w:val="00A411DC"/>
    <w:rsid w:val="00A500A9"/>
    <w:rsid w:val="00A53DB9"/>
    <w:rsid w:val="00A53E17"/>
    <w:rsid w:val="00A5681B"/>
    <w:rsid w:val="00A57AA5"/>
    <w:rsid w:val="00A6602C"/>
    <w:rsid w:val="00A74F53"/>
    <w:rsid w:val="00A95830"/>
    <w:rsid w:val="00AA49E0"/>
    <w:rsid w:val="00AA66C4"/>
    <w:rsid w:val="00AA6C38"/>
    <w:rsid w:val="00AB526B"/>
    <w:rsid w:val="00AC2D11"/>
    <w:rsid w:val="00AD15A8"/>
    <w:rsid w:val="00AD1EEF"/>
    <w:rsid w:val="00AD598A"/>
    <w:rsid w:val="00AE1B58"/>
    <w:rsid w:val="00AE3426"/>
    <w:rsid w:val="00AF2FDF"/>
    <w:rsid w:val="00B04B1A"/>
    <w:rsid w:val="00B11F0A"/>
    <w:rsid w:val="00B135D4"/>
    <w:rsid w:val="00B15FB1"/>
    <w:rsid w:val="00B20530"/>
    <w:rsid w:val="00B41688"/>
    <w:rsid w:val="00B4467C"/>
    <w:rsid w:val="00B6221F"/>
    <w:rsid w:val="00B62E02"/>
    <w:rsid w:val="00B67377"/>
    <w:rsid w:val="00B67B32"/>
    <w:rsid w:val="00B82D1D"/>
    <w:rsid w:val="00BA075D"/>
    <w:rsid w:val="00BC308D"/>
    <w:rsid w:val="00BC3943"/>
    <w:rsid w:val="00BD238D"/>
    <w:rsid w:val="00BD4BB8"/>
    <w:rsid w:val="00BE3C85"/>
    <w:rsid w:val="00BE521D"/>
    <w:rsid w:val="00BF065E"/>
    <w:rsid w:val="00C0310F"/>
    <w:rsid w:val="00C04644"/>
    <w:rsid w:val="00C064E9"/>
    <w:rsid w:val="00C159EC"/>
    <w:rsid w:val="00C20A53"/>
    <w:rsid w:val="00C214A0"/>
    <w:rsid w:val="00C33434"/>
    <w:rsid w:val="00C41787"/>
    <w:rsid w:val="00C45D27"/>
    <w:rsid w:val="00C47584"/>
    <w:rsid w:val="00C6278B"/>
    <w:rsid w:val="00C72A2D"/>
    <w:rsid w:val="00C72CBD"/>
    <w:rsid w:val="00C82E45"/>
    <w:rsid w:val="00C875CA"/>
    <w:rsid w:val="00C94B8F"/>
    <w:rsid w:val="00CB03B4"/>
    <w:rsid w:val="00CC2BAD"/>
    <w:rsid w:val="00CC7FB3"/>
    <w:rsid w:val="00CD5507"/>
    <w:rsid w:val="00CE1299"/>
    <w:rsid w:val="00CE4B98"/>
    <w:rsid w:val="00CE5963"/>
    <w:rsid w:val="00CF3C4E"/>
    <w:rsid w:val="00CF735F"/>
    <w:rsid w:val="00D1562F"/>
    <w:rsid w:val="00D17700"/>
    <w:rsid w:val="00D178A1"/>
    <w:rsid w:val="00D17C3F"/>
    <w:rsid w:val="00D25DC2"/>
    <w:rsid w:val="00D30662"/>
    <w:rsid w:val="00D31D9E"/>
    <w:rsid w:val="00D339CC"/>
    <w:rsid w:val="00D446A5"/>
    <w:rsid w:val="00D478AE"/>
    <w:rsid w:val="00D50FB4"/>
    <w:rsid w:val="00D518D5"/>
    <w:rsid w:val="00D542E7"/>
    <w:rsid w:val="00D5597C"/>
    <w:rsid w:val="00D5608A"/>
    <w:rsid w:val="00D62451"/>
    <w:rsid w:val="00D72786"/>
    <w:rsid w:val="00D733CE"/>
    <w:rsid w:val="00D94B5E"/>
    <w:rsid w:val="00DA670E"/>
    <w:rsid w:val="00DA73F0"/>
    <w:rsid w:val="00DB2625"/>
    <w:rsid w:val="00DC2041"/>
    <w:rsid w:val="00DC2493"/>
    <w:rsid w:val="00DD7C39"/>
    <w:rsid w:val="00DE1FF8"/>
    <w:rsid w:val="00DE240F"/>
    <w:rsid w:val="00DF1FDA"/>
    <w:rsid w:val="00DF2DDB"/>
    <w:rsid w:val="00DF3381"/>
    <w:rsid w:val="00DF49F8"/>
    <w:rsid w:val="00E07923"/>
    <w:rsid w:val="00E130C4"/>
    <w:rsid w:val="00E2028B"/>
    <w:rsid w:val="00E32B39"/>
    <w:rsid w:val="00E4608E"/>
    <w:rsid w:val="00E62F8A"/>
    <w:rsid w:val="00E63DB2"/>
    <w:rsid w:val="00E63E5E"/>
    <w:rsid w:val="00E64EF0"/>
    <w:rsid w:val="00E65DA9"/>
    <w:rsid w:val="00E66E8C"/>
    <w:rsid w:val="00E678C8"/>
    <w:rsid w:val="00E67C97"/>
    <w:rsid w:val="00E827F2"/>
    <w:rsid w:val="00E83A7F"/>
    <w:rsid w:val="00E84111"/>
    <w:rsid w:val="00E8429F"/>
    <w:rsid w:val="00E874D6"/>
    <w:rsid w:val="00E91BC3"/>
    <w:rsid w:val="00EA1632"/>
    <w:rsid w:val="00EA65E4"/>
    <w:rsid w:val="00EB3F81"/>
    <w:rsid w:val="00EB6F1F"/>
    <w:rsid w:val="00EC20B0"/>
    <w:rsid w:val="00EC73CA"/>
    <w:rsid w:val="00ED4CA9"/>
    <w:rsid w:val="00F12B42"/>
    <w:rsid w:val="00F16526"/>
    <w:rsid w:val="00F202B6"/>
    <w:rsid w:val="00F3716C"/>
    <w:rsid w:val="00F409C2"/>
    <w:rsid w:val="00F60528"/>
    <w:rsid w:val="00F61C6B"/>
    <w:rsid w:val="00F74414"/>
    <w:rsid w:val="00F8243B"/>
    <w:rsid w:val="00F904C3"/>
    <w:rsid w:val="00FA1A6F"/>
    <w:rsid w:val="00FA2EB4"/>
    <w:rsid w:val="00FA62D6"/>
    <w:rsid w:val="00FB2160"/>
    <w:rsid w:val="00FB7B5B"/>
    <w:rsid w:val="00FC08C3"/>
    <w:rsid w:val="00FC5F49"/>
    <w:rsid w:val="00FC7060"/>
    <w:rsid w:val="00FD3730"/>
    <w:rsid w:val="00FD7B61"/>
    <w:rsid w:val="00FF466B"/>
    <w:rsid w:val="00FF6F3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B456"/>
  <w15:docId w15:val="{F3376028-EBF6-4A2B-ADFF-9473292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A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53"/>
  </w:style>
  <w:style w:type="paragraph" w:styleId="Footer">
    <w:name w:val="footer"/>
    <w:basedOn w:val="Normal"/>
    <w:link w:val="FooterChar"/>
    <w:uiPriority w:val="99"/>
    <w:unhideWhenUsed/>
    <w:rsid w:val="00C20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53"/>
  </w:style>
  <w:style w:type="table" w:styleId="TableGrid">
    <w:name w:val="Table Grid"/>
    <w:basedOn w:val="TableNormal"/>
    <w:uiPriority w:val="59"/>
    <w:rsid w:val="006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60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E98"/>
    <w:pPr>
      <w:ind w:left="720"/>
      <w:contextualSpacing/>
    </w:pPr>
  </w:style>
  <w:style w:type="paragraph" w:styleId="BodyText">
    <w:name w:val="Body Text"/>
    <w:basedOn w:val="Normal"/>
    <w:link w:val="BodyTextChar"/>
    <w:rsid w:val="002854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54F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9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B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6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6F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656FE4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3CC5-DCC7-450E-8126-8A950A2F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3289</Words>
  <Characters>18748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Dobrica</dc:creator>
  <cp:lastModifiedBy>CDG</cp:lastModifiedBy>
  <cp:revision>2</cp:revision>
  <cp:lastPrinted>2022-03-29T15:06:00Z</cp:lastPrinted>
  <dcterms:created xsi:type="dcterms:W3CDTF">2022-04-08T10:27:00Z</dcterms:created>
  <dcterms:modified xsi:type="dcterms:W3CDTF">2022-04-08T10:27:00Z</dcterms:modified>
</cp:coreProperties>
</file>